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01" w:rsidRDefault="006D4B01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0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452B59" w:rsidRPr="000036B1">
        <w:rPr>
          <w:rFonts w:ascii="Times New Roman" w:hAnsi="Times New Roman" w:cs="Times New Roman"/>
          <w:b/>
          <w:sz w:val="22"/>
          <w:szCs w:val="22"/>
        </w:rPr>
        <w:t>3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EE5168">
        <w:rPr>
          <w:rFonts w:ascii="Times New Roman" w:hAnsi="Times New Roman"/>
          <w:sz w:val="22"/>
          <w:szCs w:val="22"/>
        </w:rPr>
        <w:t xml:space="preserve">многоквартирного </w:t>
      </w:r>
      <w:r w:rsidR="000036B1">
        <w:rPr>
          <w:rFonts w:ascii="Times New Roman" w:hAnsi="Times New Roman"/>
          <w:sz w:val="22"/>
          <w:szCs w:val="22"/>
        </w:rPr>
        <w:t xml:space="preserve">жилого </w:t>
      </w:r>
      <w:r w:rsidR="00EE5168">
        <w:rPr>
          <w:rFonts w:ascii="Times New Roman" w:hAnsi="Times New Roman"/>
          <w:sz w:val="22"/>
          <w:szCs w:val="22"/>
        </w:rPr>
        <w:t>дома</w:t>
      </w:r>
      <w:r w:rsidR="002B4464" w:rsidRPr="00A2225F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0036B1" w:rsidRPr="000036B1">
        <w:rPr>
          <w:rFonts w:ascii="Times New Roman" w:hAnsi="Times New Roman"/>
          <w:sz w:val="22"/>
          <w:szCs w:val="22"/>
        </w:rPr>
        <w:t>11</w:t>
      </w:r>
      <w:r w:rsidR="00A2225F" w:rsidRPr="000036B1">
        <w:rPr>
          <w:rFonts w:ascii="Times New Roman" w:hAnsi="Times New Roman"/>
          <w:sz w:val="22"/>
          <w:szCs w:val="22"/>
        </w:rPr>
        <w:t>.0</w:t>
      </w:r>
      <w:r w:rsidR="000036B1" w:rsidRPr="000036B1">
        <w:rPr>
          <w:rFonts w:ascii="Times New Roman" w:hAnsi="Times New Roman"/>
          <w:sz w:val="22"/>
          <w:szCs w:val="22"/>
        </w:rPr>
        <w:t>8</w:t>
      </w:r>
      <w:r w:rsidR="00A2225F" w:rsidRPr="000036B1">
        <w:rPr>
          <w:rFonts w:ascii="Times New Roman" w:hAnsi="Times New Roman"/>
          <w:sz w:val="22"/>
          <w:szCs w:val="22"/>
        </w:rPr>
        <w:t>.202</w:t>
      </w:r>
      <w:r w:rsidR="00452B59" w:rsidRPr="000036B1">
        <w:rPr>
          <w:rFonts w:ascii="Times New Roman" w:hAnsi="Times New Roman"/>
          <w:sz w:val="22"/>
          <w:szCs w:val="22"/>
        </w:rPr>
        <w:t>3</w:t>
      </w:r>
      <w:r w:rsidRPr="000036B1">
        <w:rPr>
          <w:rFonts w:ascii="Times New Roman" w:hAnsi="Times New Roman"/>
          <w:sz w:val="22"/>
          <w:szCs w:val="22"/>
        </w:rPr>
        <w:t xml:space="preserve"> № </w:t>
      </w:r>
      <w:r w:rsidR="000036B1" w:rsidRPr="000036B1">
        <w:rPr>
          <w:rFonts w:ascii="Times New Roman" w:hAnsi="Times New Roman"/>
          <w:sz w:val="22"/>
          <w:szCs w:val="22"/>
        </w:rPr>
        <w:t>117</w:t>
      </w:r>
      <w:r w:rsidR="006D4B01" w:rsidRPr="000036B1">
        <w:rPr>
          <w:rFonts w:ascii="Times New Roman" w:hAnsi="Times New Roman"/>
          <w:sz w:val="22"/>
          <w:szCs w:val="22"/>
        </w:rPr>
        <w:t>-</w:t>
      </w:r>
      <w:r w:rsidR="00DE5E4D" w:rsidRPr="000036B1">
        <w:rPr>
          <w:rFonts w:ascii="Times New Roman" w:hAnsi="Times New Roman"/>
          <w:sz w:val="22"/>
          <w:szCs w:val="22"/>
        </w:rPr>
        <w:t>з</w:t>
      </w:r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с кадастровым номером 24:58:0326001:94 для строительства многоквартирного </w:t>
      </w:r>
      <w:r w:rsidR="000036B1">
        <w:rPr>
          <w:rFonts w:ascii="Times New Roman" w:hAnsi="Times New Roman"/>
          <w:sz w:val="22"/>
          <w:szCs w:val="22"/>
        </w:rPr>
        <w:t xml:space="preserve">жилого </w:t>
      </w:r>
      <w:r w:rsidR="00E76CA5" w:rsidRPr="00E76CA5">
        <w:rPr>
          <w:rFonts w:ascii="Times New Roman" w:hAnsi="Times New Roman"/>
          <w:sz w:val="22"/>
          <w:szCs w:val="22"/>
        </w:rPr>
        <w:t>дома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143FA3" w:rsidRPr="00E76CA5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>25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сентября </w:t>
      </w:r>
      <w:r w:rsidRPr="000036B1">
        <w:rPr>
          <w:rFonts w:ascii="Times New Roman" w:hAnsi="Times New Roman" w:cs="Times New Roman"/>
          <w:b/>
          <w:sz w:val="22"/>
          <w:szCs w:val="22"/>
        </w:rPr>
        <w:t>2023 года в 0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>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многоквартирного </w:t>
      </w:r>
      <w:r w:rsidR="000036B1">
        <w:rPr>
          <w:rFonts w:ascii="Times New Roman" w:hAnsi="Times New Roman"/>
          <w:sz w:val="22"/>
          <w:szCs w:val="22"/>
        </w:rPr>
        <w:t xml:space="preserve">жилого </w:t>
      </w:r>
      <w:r w:rsidR="00E76CA5" w:rsidRPr="00E76CA5">
        <w:rPr>
          <w:rFonts w:ascii="Times New Roman" w:hAnsi="Times New Roman"/>
          <w:sz w:val="22"/>
          <w:szCs w:val="22"/>
        </w:rPr>
        <w:t>дома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76CA5" w:rsidRPr="00E76CA5">
        <w:rPr>
          <w:rFonts w:ascii="Times New Roman" w:hAnsi="Times New Roman"/>
          <w:sz w:val="22"/>
          <w:szCs w:val="22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E76CA5" w:rsidRPr="00E76CA5">
        <w:rPr>
          <w:rFonts w:ascii="Times New Roman" w:hAnsi="Times New Roman"/>
          <w:sz w:val="22"/>
          <w:szCs w:val="22"/>
        </w:rPr>
        <w:t>Узкоколейная</w:t>
      </w:r>
      <w:proofErr w:type="gramEnd"/>
      <w:r w:rsidR="00E76CA5" w:rsidRPr="00E76CA5">
        <w:rPr>
          <w:rFonts w:ascii="Times New Roman" w:hAnsi="Times New Roman"/>
          <w:sz w:val="22"/>
          <w:szCs w:val="22"/>
        </w:rPr>
        <w:t>, 29</w:t>
      </w:r>
      <w:r w:rsidR="00D548A8" w:rsidRPr="00E76CA5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66ACC">
        <w:rPr>
          <w:rFonts w:ascii="Times New Roman" w:hAnsi="Times New Roman"/>
          <w:sz w:val="22"/>
          <w:szCs w:val="22"/>
        </w:rPr>
        <w:t>2509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0326001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548A8">
        <w:rPr>
          <w:rFonts w:ascii="Times New Roman" w:hAnsi="Times New Roman"/>
          <w:sz w:val="22"/>
          <w:szCs w:val="22"/>
        </w:rPr>
        <w:t>9</w:t>
      </w:r>
      <w:r w:rsidR="00866ACC">
        <w:rPr>
          <w:rFonts w:ascii="Times New Roman" w:hAnsi="Times New Roman"/>
          <w:sz w:val="22"/>
          <w:szCs w:val="22"/>
        </w:rPr>
        <w:t>4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4E26CD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866ACC" w:rsidRPr="00866ACC">
        <w:rPr>
          <w:rFonts w:ascii="Times New Roman" w:hAnsi="Times New Roman"/>
          <w:sz w:val="22"/>
          <w:szCs w:val="22"/>
        </w:rPr>
        <w:t>содержание ограничения: зона инженерных коммуникаций</w:t>
      </w:r>
      <w:r w:rsidR="00866ACC">
        <w:rPr>
          <w:rFonts w:ascii="Times New Roman" w:hAnsi="Times New Roman"/>
          <w:sz w:val="22"/>
          <w:szCs w:val="22"/>
        </w:rPr>
        <w:t>,</w:t>
      </w:r>
      <w:r w:rsidR="00866ACC" w:rsidRPr="00866ACC">
        <w:rPr>
          <w:rFonts w:ascii="Times New Roman" w:hAnsi="Times New Roman"/>
          <w:sz w:val="22"/>
          <w:szCs w:val="22"/>
        </w:rPr>
        <w:t xml:space="preserve"> учетный номер </w:t>
      </w:r>
      <w:r w:rsidR="00866ACC" w:rsidRPr="004E26CD">
        <w:rPr>
          <w:rFonts w:ascii="Times New Roman" w:hAnsi="Times New Roman"/>
          <w:sz w:val="22"/>
          <w:szCs w:val="22"/>
        </w:rPr>
        <w:t>части</w:t>
      </w:r>
      <w:r w:rsidR="006011F5">
        <w:rPr>
          <w:rFonts w:ascii="Times New Roman" w:hAnsi="Times New Roman"/>
          <w:sz w:val="22"/>
          <w:szCs w:val="22"/>
        </w:rPr>
        <w:t xml:space="preserve"> земельно</w:t>
      </w:r>
      <w:bookmarkStart w:id="0" w:name="_GoBack"/>
      <w:bookmarkEnd w:id="0"/>
      <w:r w:rsidR="006011F5">
        <w:rPr>
          <w:rFonts w:ascii="Times New Roman" w:hAnsi="Times New Roman"/>
          <w:sz w:val="22"/>
          <w:szCs w:val="22"/>
        </w:rPr>
        <w:t>го участка</w:t>
      </w:r>
      <w:r w:rsidR="00866ACC" w:rsidRPr="004E26CD">
        <w:rPr>
          <w:rFonts w:ascii="Times New Roman" w:hAnsi="Times New Roman"/>
          <w:sz w:val="22"/>
          <w:szCs w:val="22"/>
        </w:rPr>
        <w:t xml:space="preserve"> 24:58:0326001:94/1, площадь 135 кв. м</w:t>
      </w:r>
      <w:r w:rsidR="004E26CD" w:rsidRPr="004E26CD">
        <w:rPr>
          <w:rFonts w:ascii="Times New Roman" w:hAnsi="Times New Roman"/>
          <w:sz w:val="22"/>
          <w:szCs w:val="22"/>
        </w:rPr>
        <w:t xml:space="preserve">, документ-основание: постановление </w:t>
      </w:r>
      <w:proofErr w:type="gramStart"/>
      <w:r w:rsidR="004E26CD" w:rsidRPr="004E26CD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E26CD" w:rsidRPr="004E26CD">
        <w:rPr>
          <w:rFonts w:ascii="Times New Roman" w:hAnsi="Times New Roman"/>
          <w:sz w:val="22"/>
          <w:szCs w:val="22"/>
        </w:rPr>
        <w:t xml:space="preserve"> ЗАТО Железногорск Красноярского края от 14.12.2006 № 1541-з</w:t>
      </w:r>
      <w:r w:rsidR="006011F5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00755F">
        <w:rPr>
          <w:rFonts w:ascii="Times New Roman" w:hAnsi="Times New Roman"/>
          <w:sz w:val="22"/>
          <w:szCs w:val="22"/>
        </w:rPr>
        <w:t>среднеэтажная</w:t>
      </w:r>
      <w:proofErr w:type="spellEnd"/>
      <w:r w:rsidR="0000755F">
        <w:rPr>
          <w:rFonts w:ascii="Times New Roman" w:hAnsi="Times New Roman"/>
          <w:sz w:val="22"/>
          <w:szCs w:val="22"/>
        </w:rPr>
        <w:t xml:space="preserve"> жилая застройка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0036B1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00755F" w:rsidRPr="000036B1">
        <w:rPr>
          <w:rFonts w:ascii="Times New Roman" w:hAnsi="Times New Roman"/>
          <w:sz w:val="22"/>
          <w:szCs w:val="22"/>
        </w:rPr>
        <w:t>многоквартирный дом</w:t>
      </w:r>
      <w:r w:rsidR="00DF3F80" w:rsidRPr="000036B1">
        <w:rPr>
          <w:rFonts w:ascii="Times New Roman" w:hAnsi="Times New Roman"/>
          <w:sz w:val="22"/>
          <w:szCs w:val="22"/>
        </w:rPr>
        <w:t>.</w:t>
      </w:r>
    </w:p>
    <w:p w:rsidR="002C61E3" w:rsidRPr="000036B1" w:rsidRDefault="002C61E3" w:rsidP="002C61E3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0036B1">
        <w:rPr>
          <w:color w:val="000000"/>
        </w:rPr>
        <w:t>Предельное количество этажей или предельная высота зданий, строений, сооружений - 5 этажей</w:t>
      </w:r>
    </w:p>
    <w:p w:rsidR="009D17B4" w:rsidRPr="000036B1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Максимальн</w:t>
      </w:r>
      <w:r w:rsidR="00DF3F80" w:rsidRPr="000036B1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0036B1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0036B1">
        <w:rPr>
          <w:rFonts w:ascii="Times New Roman" w:hAnsi="Times New Roman"/>
          <w:sz w:val="22"/>
          <w:szCs w:val="22"/>
        </w:rPr>
        <w:t xml:space="preserve"> – </w:t>
      </w:r>
      <w:r w:rsidR="002C61E3" w:rsidRPr="000036B1">
        <w:rPr>
          <w:rFonts w:ascii="Times New Roman" w:hAnsi="Times New Roman"/>
          <w:sz w:val="22"/>
          <w:szCs w:val="22"/>
        </w:rPr>
        <w:t>3300</w:t>
      </w:r>
      <w:r w:rsidRPr="000036B1">
        <w:rPr>
          <w:rFonts w:ascii="Times New Roman" w:hAnsi="Times New Roman"/>
          <w:sz w:val="22"/>
          <w:szCs w:val="22"/>
        </w:rPr>
        <w:t xml:space="preserve"> кв.</w:t>
      </w:r>
      <w:r w:rsidR="002C61E3" w:rsidRPr="000036B1">
        <w:rPr>
          <w:rFonts w:ascii="Times New Roman" w:hAnsi="Times New Roman"/>
          <w:sz w:val="22"/>
          <w:szCs w:val="22"/>
        </w:rPr>
        <w:t xml:space="preserve"> </w:t>
      </w:r>
      <w:r w:rsidRPr="000036B1">
        <w:rPr>
          <w:rFonts w:ascii="Times New Roman" w:hAnsi="Times New Roman"/>
          <w:sz w:val="22"/>
          <w:szCs w:val="22"/>
        </w:rPr>
        <w:t xml:space="preserve">м. </w:t>
      </w:r>
    </w:p>
    <w:p w:rsidR="009D17B4" w:rsidRPr="000036B1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Минималь</w:t>
      </w:r>
      <w:r w:rsidR="00DF3F80" w:rsidRPr="000036B1">
        <w:rPr>
          <w:rFonts w:ascii="Times New Roman" w:hAnsi="Times New Roman"/>
          <w:sz w:val="22"/>
          <w:szCs w:val="22"/>
        </w:rPr>
        <w:t xml:space="preserve">ная площадь </w:t>
      </w:r>
      <w:r w:rsidR="002C61E3" w:rsidRPr="000036B1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0036B1">
        <w:rPr>
          <w:rFonts w:ascii="Times New Roman" w:hAnsi="Times New Roman"/>
          <w:sz w:val="22"/>
          <w:szCs w:val="22"/>
        </w:rPr>
        <w:t xml:space="preserve"> </w:t>
      </w:r>
      <w:r w:rsidR="002C61E3" w:rsidRPr="000036B1">
        <w:rPr>
          <w:rFonts w:ascii="Times New Roman" w:hAnsi="Times New Roman"/>
          <w:sz w:val="22"/>
          <w:szCs w:val="22"/>
        </w:rPr>
        <w:t>- 1650</w:t>
      </w:r>
      <w:r w:rsidRPr="000036B1">
        <w:rPr>
          <w:rFonts w:ascii="Times New Roman" w:hAnsi="Times New Roman"/>
          <w:sz w:val="22"/>
          <w:szCs w:val="22"/>
        </w:rPr>
        <w:t xml:space="preserve"> кв. м. </w:t>
      </w:r>
    </w:p>
    <w:p w:rsidR="0000755F" w:rsidRPr="00F33DC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33DC5">
        <w:rPr>
          <w:sz w:val="22"/>
          <w:szCs w:val="22"/>
        </w:rPr>
        <w:t>Минимальные отступы от границ земельных участков - 3 м</w:t>
      </w:r>
    </w:p>
    <w:p w:rsidR="0000755F" w:rsidRPr="00F33DC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33DC5">
        <w:rPr>
          <w:sz w:val="22"/>
          <w:szCs w:val="22"/>
        </w:rPr>
        <w:t xml:space="preserve">Максимальный процент застройки в границах земельного участка </w:t>
      </w:r>
      <w:r w:rsidR="00F33DC5" w:rsidRPr="00F33DC5">
        <w:rPr>
          <w:sz w:val="22"/>
          <w:szCs w:val="22"/>
        </w:rPr>
        <w:t>–</w:t>
      </w:r>
      <w:r w:rsidRPr="00F33DC5">
        <w:rPr>
          <w:sz w:val="22"/>
          <w:szCs w:val="22"/>
        </w:rPr>
        <w:t xml:space="preserve"> 50</w:t>
      </w:r>
    </w:p>
    <w:p w:rsidR="00F33DC5" w:rsidRPr="00D05B21" w:rsidRDefault="00F33DC5" w:rsidP="00F33DC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многоквартирный</w:t>
      </w: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</w:t>
      </w:r>
      <w:r w:rsidR="007441FB">
        <w:rPr>
          <w:rFonts w:ascii="Times New Roman" w:eastAsia="Calibri" w:hAnsi="Times New Roman"/>
          <w:sz w:val="22"/>
          <w:szCs w:val="22"/>
        </w:rPr>
        <w:t>6</w:t>
      </w:r>
      <w:r w:rsidRPr="00D05B21">
        <w:rPr>
          <w:rFonts w:ascii="Times New Roman" w:eastAsia="Calibri" w:hAnsi="Times New Roman"/>
          <w:sz w:val="22"/>
          <w:szCs w:val="22"/>
        </w:rPr>
        <w:t xml:space="preserve">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9D17B4" w:rsidRDefault="00614ADC" w:rsidP="000075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036B1" w:rsidRPr="000036B1">
        <w:rPr>
          <w:b w:val="0"/>
          <w:sz w:val="22"/>
          <w:szCs w:val="22"/>
        </w:rPr>
        <w:t>75</w:t>
      </w:r>
      <w:r w:rsidR="00E90776" w:rsidRPr="000036B1">
        <w:rPr>
          <w:b w:val="0"/>
          <w:sz w:val="22"/>
          <w:szCs w:val="22"/>
        </w:rPr>
        <w:t>1 0</w:t>
      </w:r>
      <w:r w:rsidR="000036B1" w:rsidRPr="000036B1">
        <w:rPr>
          <w:b w:val="0"/>
          <w:sz w:val="22"/>
          <w:szCs w:val="22"/>
        </w:rPr>
        <w:t>00</w:t>
      </w:r>
      <w:r w:rsidR="00E90776" w:rsidRPr="000036B1">
        <w:rPr>
          <w:b w:val="0"/>
          <w:sz w:val="22"/>
          <w:szCs w:val="22"/>
        </w:rPr>
        <w:t xml:space="preserve"> (С</w:t>
      </w:r>
      <w:r w:rsidR="000036B1" w:rsidRPr="000036B1">
        <w:rPr>
          <w:b w:val="0"/>
          <w:sz w:val="22"/>
          <w:szCs w:val="22"/>
        </w:rPr>
        <w:t>емьсот пятьдесят одна</w:t>
      </w:r>
      <w:r w:rsidR="00E90776" w:rsidRPr="000036B1">
        <w:rPr>
          <w:b w:val="0"/>
          <w:sz w:val="22"/>
          <w:szCs w:val="22"/>
        </w:rPr>
        <w:t xml:space="preserve"> тысяча) рубл</w:t>
      </w:r>
      <w:r w:rsidR="000036B1" w:rsidRPr="000036B1">
        <w:rPr>
          <w:b w:val="0"/>
          <w:sz w:val="22"/>
          <w:szCs w:val="22"/>
        </w:rPr>
        <w:t>ей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>6</w:t>
      </w:r>
      <w:r w:rsidR="000036B1" w:rsidRPr="000036B1">
        <w:rPr>
          <w:rFonts w:ascii="Times New Roman" w:hAnsi="Times New Roman"/>
          <w:sz w:val="22"/>
          <w:szCs w:val="22"/>
        </w:rPr>
        <w:t>75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0036B1" w:rsidRPr="000036B1">
        <w:rPr>
          <w:rFonts w:ascii="Times New Roman" w:hAnsi="Times New Roman"/>
          <w:sz w:val="22"/>
          <w:szCs w:val="22"/>
        </w:rPr>
        <w:t>90</w:t>
      </w:r>
      <w:r w:rsidR="00E90776" w:rsidRPr="000036B1">
        <w:rPr>
          <w:rFonts w:ascii="Times New Roman" w:hAnsi="Times New Roman"/>
          <w:sz w:val="22"/>
          <w:szCs w:val="22"/>
        </w:rPr>
        <w:t>0 (Шестьс</w:t>
      </w:r>
      <w:r w:rsidR="000036B1" w:rsidRPr="000036B1">
        <w:rPr>
          <w:rFonts w:ascii="Times New Roman" w:hAnsi="Times New Roman"/>
          <w:sz w:val="22"/>
          <w:szCs w:val="22"/>
        </w:rPr>
        <w:t>о</w:t>
      </w:r>
      <w:r w:rsidR="00E90776" w:rsidRPr="000036B1">
        <w:rPr>
          <w:rFonts w:ascii="Times New Roman" w:hAnsi="Times New Roman"/>
          <w:sz w:val="22"/>
          <w:szCs w:val="22"/>
        </w:rPr>
        <w:t xml:space="preserve">т </w:t>
      </w:r>
      <w:r w:rsidR="000036B1" w:rsidRPr="000036B1">
        <w:rPr>
          <w:rFonts w:ascii="Times New Roman" w:hAnsi="Times New Roman"/>
          <w:sz w:val="22"/>
          <w:szCs w:val="22"/>
        </w:rPr>
        <w:t xml:space="preserve">семьдесят пять </w:t>
      </w:r>
      <w:r w:rsidR="00E90776" w:rsidRPr="000036B1">
        <w:rPr>
          <w:rFonts w:ascii="Times New Roman" w:hAnsi="Times New Roman"/>
          <w:sz w:val="22"/>
          <w:szCs w:val="22"/>
        </w:rPr>
        <w:t xml:space="preserve">тысяч </w:t>
      </w:r>
      <w:r w:rsidR="000036B1" w:rsidRPr="000036B1">
        <w:rPr>
          <w:rFonts w:ascii="Times New Roman" w:hAnsi="Times New Roman"/>
          <w:sz w:val="22"/>
          <w:szCs w:val="22"/>
        </w:rPr>
        <w:t>девять</w:t>
      </w:r>
      <w:r w:rsidR="007D4C3F">
        <w:rPr>
          <w:rFonts w:ascii="Times New Roman" w:hAnsi="Times New Roman"/>
          <w:sz w:val="22"/>
          <w:szCs w:val="22"/>
        </w:rPr>
        <w:t>сот) рублей 0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0036B1" w:rsidRPr="000036B1">
        <w:rPr>
          <w:rFonts w:ascii="Times New Roman" w:hAnsi="Times New Roman"/>
          <w:sz w:val="22"/>
          <w:szCs w:val="22"/>
        </w:rPr>
        <w:t>22</w:t>
      </w:r>
      <w:r w:rsidR="00E90776" w:rsidRPr="000036B1">
        <w:rPr>
          <w:rFonts w:ascii="Times New Roman" w:hAnsi="Times New Roman"/>
          <w:sz w:val="22"/>
          <w:szCs w:val="22"/>
        </w:rPr>
        <w:t xml:space="preserve"> 5</w:t>
      </w:r>
      <w:r w:rsidR="000036B1" w:rsidRPr="000036B1">
        <w:rPr>
          <w:rFonts w:ascii="Times New Roman" w:hAnsi="Times New Roman"/>
          <w:sz w:val="22"/>
          <w:szCs w:val="22"/>
        </w:rPr>
        <w:t>30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0036B1" w:rsidRPr="000036B1">
        <w:rPr>
          <w:rFonts w:ascii="Times New Roman" w:hAnsi="Times New Roman"/>
          <w:sz w:val="22"/>
          <w:szCs w:val="22"/>
        </w:rPr>
        <w:t>Двадцать две тысячи пятьсот тридцать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BA0A8E" w:rsidRPr="00BA0A8E">
        <w:rPr>
          <w:b w:val="0"/>
          <w:snapToGrid w:val="0"/>
          <w:color w:val="000000"/>
          <w:sz w:val="22"/>
          <w:szCs w:val="22"/>
        </w:rPr>
        <w:t>4 (четыре) года 10 (десять)</w:t>
      </w:r>
      <w:r w:rsidR="00BA0A8E" w:rsidRPr="00BA0A8E">
        <w:rPr>
          <w:b w:val="0"/>
          <w:sz w:val="22"/>
          <w:szCs w:val="22"/>
        </w:rPr>
        <w:t xml:space="preserve"> месяцев</w:t>
      </w:r>
      <w:r w:rsidRPr="00D548A8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036B1" w:rsidRPr="000036B1">
        <w:rPr>
          <w:rFonts w:ascii="Times New Roman" w:hAnsi="Times New Roman" w:cs="Times New Roman"/>
          <w:sz w:val="22"/>
          <w:szCs w:val="22"/>
        </w:rPr>
        <w:t>25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0036B1" w:rsidRPr="000036B1">
        <w:rPr>
          <w:rFonts w:ascii="Times New Roman" w:hAnsi="Times New Roman" w:cs="Times New Roman"/>
          <w:sz w:val="22"/>
          <w:szCs w:val="22"/>
        </w:rPr>
        <w:t>августа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E90776" w:rsidRPr="000036B1">
        <w:rPr>
          <w:rFonts w:ascii="Times New Roman" w:hAnsi="Times New Roman" w:cs="Times New Roman"/>
          <w:sz w:val="22"/>
          <w:szCs w:val="22"/>
        </w:rPr>
        <w:t>2</w:t>
      </w:r>
      <w:r w:rsidR="000036B1" w:rsidRPr="000036B1">
        <w:rPr>
          <w:rFonts w:ascii="Times New Roman" w:hAnsi="Times New Roman" w:cs="Times New Roman"/>
          <w:sz w:val="22"/>
          <w:szCs w:val="22"/>
        </w:rPr>
        <w:t>0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0036B1" w:rsidRPr="000036B1">
        <w:rPr>
          <w:rFonts w:ascii="Times New Roman" w:hAnsi="Times New Roman" w:cs="Times New Roman"/>
          <w:sz w:val="22"/>
          <w:szCs w:val="22"/>
        </w:rPr>
        <w:t>сентябр</w:t>
      </w:r>
      <w:r w:rsidR="002E22CB" w:rsidRPr="000036B1">
        <w:rPr>
          <w:rFonts w:ascii="Times New Roman" w:hAnsi="Times New Roman" w:cs="Times New Roman"/>
          <w:sz w:val="22"/>
          <w:szCs w:val="22"/>
        </w:rPr>
        <w:t>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2023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0036B1" w:rsidRPr="000036B1">
        <w:t>21</w:t>
      </w:r>
      <w:r w:rsidR="002E22CB" w:rsidRPr="000036B1">
        <w:t xml:space="preserve"> </w:t>
      </w:r>
      <w:r w:rsidR="000036B1" w:rsidRPr="000036B1">
        <w:t>сентября</w:t>
      </w:r>
      <w:r w:rsidRPr="000036B1">
        <w:rPr>
          <w:bCs/>
        </w:rPr>
        <w:t xml:space="preserve"> 2023 </w:t>
      </w:r>
      <w:r w:rsidRPr="000036B1">
        <w:t>года</w:t>
      </w:r>
      <w:r w:rsidRPr="000036B1">
        <w:rPr>
          <w:bCs/>
        </w:rPr>
        <w:t xml:space="preserve"> 1</w:t>
      </w:r>
      <w:r w:rsidR="00E90776" w:rsidRPr="000036B1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7D4C3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7D4C3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lastRenderedPageBreak/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 xml:space="preserve">ого участка, этот </w:t>
      </w:r>
      <w:r w:rsidR="00D74498" w:rsidRPr="00093854">
        <w:lastRenderedPageBreak/>
        <w:t>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A5D49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3291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11F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14B73"/>
    <w:rsid w:val="00C20903"/>
    <w:rsid w:val="00C26D5B"/>
    <w:rsid w:val="00C32483"/>
    <w:rsid w:val="00C43B99"/>
    <w:rsid w:val="00C52CF1"/>
    <w:rsid w:val="00C54B27"/>
    <w:rsid w:val="00C554E3"/>
    <w:rsid w:val="00C724ED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A3EC-579C-40C5-A7CA-E7103EC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2023-08-18T06:14:00Z</cp:lastPrinted>
  <dcterms:created xsi:type="dcterms:W3CDTF">2023-08-18T08:04:00Z</dcterms:created>
  <dcterms:modified xsi:type="dcterms:W3CDTF">2023-08-18T08:04:00Z</dcterms:modified>
</cp:coreProperties>
</file>