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F82FCC" w:rsidRDefault="00AC54E0" w:rsidP="00DB24F2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F82FC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F82FCC">
        <w:rPr>
          <w:rFonts w:eastAsia="Calibri"/>
          <w:b/>
          <w:color w:val="000000"/>
        </w:rPr>
        <w:t>А</w:t>
      </w:r>
      <w:r w:rsidRPr="00F82FCC">
        <w:rPr>
          <w:rFonts w:eastAsia="Calibri"/>
          <w:b/>
          <w:color w:val="000000"/>
        </w:rPr>
        <w:t>дминистрации</w:t>
      </w:r>
      <w:proofErr w:type="gramEnd"/>
      <w:r w:rsidRPr="00F82FCC">
        <w:rPr>
          <w:rFonts w:eastAsia="Calibri"/>
          <w:b/>
          <w:color w:val="000000"/>
        </w:rPr>
        <w:t xml:space="preserve"> </w:t>
      </w:r>
      <w:r w:rsidR="00D37700" w:rsidRPr="00F82FCC">
        <w:rPr>
          <w:rFonts w:eastAsia="Calibri"/>
          <w:b/>
          <w:color w:val="000000"/>
        </w:rPr>
        <w:t xml:space="preserve">ЗАТО  </w:t>
      </w:r>
      <w:r w:rsidR="00351EE7" w:rsidRPr="00F82FCC">
        <w:rPr>
          <w:rFonts w:eastAsia="Calibri"/>
          <w:b/>
          <w:color w:val="000000"/>
        </w:rPr>
        <w:t xml:space="preserve">                             </w:t>
      </w:r>
      <w:r w:rsidR="00D37700" w:rsidRPr="00F82FCC">
        <w:rPr>
          <w:rFonts w:eastAsia="Calibri"/>
          <w:b/>
          <w:color w:val="000000"/>
        </w:rPr>
        <w:t xml:space="preserve">   г.</w:t>
      </w:r>
      <w:r w:rsidRPr="00F82FCC">
        <w:rPr>
          <w:rFonts w:eastAsia="Calibri"/>
          <w:b/>
          <w:color w:val="000000"/>
        </w:rPr>
        <w:t xml:space="preserve"> </w:t>
      </w:r>
      <w:r w:rsidR="00D37700" w:rsidRPr="00F82FCC">
        <w:rPr>
          <w:rFonts w:eastAsia="Calibri"/>
          <w:b/>
          <w:color w:val="000000"/>
        </w:rPr>
        <w:t xml:space="preserve">Железногорск  </w:t>
      </w:r>
      <w:r w:rsidRPr="00F82FCC">
        <w:rPr>
          <w:rFonts w:eastAsia="Calibri"/>
          <w:b/>
          <w:color w:val="000000"/>
        </w:rPr>
        <w:t>сообщает о проведении продажи</w:t>
      </w:r>
      <w:r w:rsidR="00772832" w:rsidRPr="00F82FCC">
        <w:rPr>
          <w:rFonts w:eastAsia="Calibri"/>
          <w:b/>
          <w:color w:val="000000"/>
        </w:rPr>
        <w:t xml:space="preserve"> </w:t>
      </w:r>
      <w:r w:rsidRPr="00F82FCC">
        <w:rPr>
          <w:rFonts w:eastAsia="Calibri"/>
          <w:b/>
          <w:color w:val="000000"/>
        </w:rPr>
        <w:t>муниципального имущества</w:t>
      </w:r>
    </w:p>
    <w:p w:rsidR="00AC54E0" w:rsidRPr="00F82FCC" w:rsidRDefault="0030797F" w:rsidP="00DB24F2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DB24F2">
        <w:rPr>
          <w:rFonts w:eastAsia="Calibri"/>
          <w:b/>
          <w:color w:val="000000"/>
        </w:rPr>
        <w:t>п</w:t>
      </w:r>
      <w:r w:rsidR="00772832" w:rsidRPr="00DB24F2">
        <w:rPr>
          <w:rFonts w:eastAsia="Calibri"/>
          <w:b/>
          <w:color w:val="000000"/>
        </w:rPr>
        <w:t xml:space="preserve">осредством публичного предложения </w:t>
      </w:r>
      <w:r w:rsidR="00AC54E0" w:rsidRPr="00DB24F2">
        <w:rPr>
          <w:rFonts w:eastAsia="Calibri"/>
          <w:b/>
          <w:color w:val="000000"/>
        </w:rPr>
        <w:t xml:space="preserve"> в электронной форме </w:t>
      </w:r>
      <w:r w:rsidR="008A441B" w:rsidRPr="00DB24F2">
        <w:rPr>
          <w:rFonts w:eastAsia="Calibri"/>
          <w:b/>
          <w:color w:val="000000"/>
        </w:rPr>
        <w:t xml:space="preserve">                            </w:t>
      </w:r>
      <w:r w:rsidR="00AC54E0" w:rsidRPr="00DB24F2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AC54E0" w:rsidRPr="00DB24F2">
          <w:rPr>
            <w:rFonts w:eastAsia="Calibri"/>
            <w:b/>
            <w:color w:val="000000"/>
          </w:rPr>
          <w:t>www.torgi.gov.ru</w:t>
        </w:r>
      </w:hyperlink>
      <w:r w:rsidR="00AC54E0" w:rsidRPr="00DB24F2">
        <w:rPr>
          <w:rFonts w:eastAsia="Calibri"/>
          <w:b/>
          <w:color w:val="000000"/>
        </w:rPr>
        <w:t xml:space="preserve"> </w:t>
      </w:r>
      <w:r w:rsidR="00A47EB7" w:rsidRPr="00DB24F2">
        <w:rPr>
          <w:rFonts w:eastAsia="Calibri"/>
          <w:b/>
          <w:color w:val="000000"/>
        </w:rPr>
        <w:t xml:space="preserve">№ </w:t>
      </w:r>
      <w:r w:rsidR="00DB24F2" w:rsidRPr="00DB24F2">
        <w:rPr>
          <w:rFonts w:eastAsia="Calibri"/>
          <w:b/>
          <w:color w:val="000000"/>
        </w:rPr>
        <w:t>21000011480000000029</w:t>
      </w:r>
      <w:hyperlink r:id="rId7" w:history="1"/>
      <w:hyperlink r:id="rId8" w:history="1"/>
      <w:r w:rsidR="00BA0443" w:rsidRPr="00F82FCC">
        <w:rPr>
          <w:rFonts w:eastAsia="Calibri"/>
          <w:b/>
          <w:color w:val="000000"/>
        </w:rPr>
        <w:t>)</w:t>
      </w:r>
    </w:p>
    <w:p w:rsidR="00AC54E0" w:rsidRPr="0087350D" w:rsidRDefault="00AC54E0" w:rsidP="00DB24F2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6D415D">
        <w:rPr>
          <w:b/>
          <w:iCs/>
        </w:rPr>
        <w:t xml:space="preserve">продажи </w:t>
      </w:r>
      <w:r w:rsidR="006D415D" w:rsidRPr="0087350D">
        <w:rPr>
          <w:b/>
          <w:iCs/>
        </w:rPr>
        <w:t>муниципального имущества</w:t>
      </w:r>
      <w:r w:rsidR="006D415D" w:rsidRPr="0087350D">
        <w:rPr>
          <w:b/>
        </w:rPr>
        <w:t xml:space="preserve"> </w:t>
      </w:r>
      <w:r w:rsidR="006D415D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3F3645">
        <w:rPr>
          <w:rFonts w:ascii="Times New Roman" w:hAnsi="Times New Roman"/>
          <w:b w:val="0"/>
          <w:i w:val="0"/>
          <w:sz w:val="24"/>
          <w:szCs w:val="24"/>
        </w:rPr>
        <w:t>04</w:t>
      </w:r>
      <w:r w:rsidR="00641004">
        <w:rPr>
          <w:rFonts w:ascii="Times New Roman" w:hAnsi="Times New Roman"/>
          <w:b w:val="0"/>
          <w:i w:val="0"/>
          <w:sz w:val="24"/>
          <w:szCs w:val="24"/>
        </w:rPr>
        <w:t>.10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3F3645">
        <w:rPr>
          <w:rFonts w:ascii="Times New Roman" w:hAnsi="Times New Roman"/>
          <w:b w:val="0"/>
          <w:i w:val="0"/>
          <w:sz w:val="24"/>
          <w:szCs w:val="24"/>
        </w:rPr>
        <w:t>457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641004">
        <w:rPr>
          <w:rFonts w:ascii="Times New Roman" w:hAnsi="Times New Roman"/>
          <w:b w:val="0"/>
          <w:i w:val="0"/>
          <w:sz w:val="24"/>
          <w:szCs w:val="24"/>
        </w:rPr>
        <w:t>67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641004">
        <w:rPr>
          <w:rFonts w:ascii="Times New Roman" w:hAnsi="Times New Roman"/>
          <w:b w:val="0"/>
          <w:i w:val="0"/>
          <w:sz w:val="24"/>
          <w:szCs w:val="24"/>
        </w:rPr>
        <w:t>Ленин</w:t>
      </w:r>
      <w:r w:rsidR="007B4F36">
        <w:rPr>
          <w:rFonts w:ascii="Times New Roman" w:hAnsi="Times New Roman"/>
          <w:b w:val="0"/>
          <w:i w:val="0"/>
          <w:sz w:val="24"/>
          <w:szCs w:val="24"/>
        </w:rPr>
        <w:t>а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641004">
        <w:rPr>
          <w:rFonts w:ascii="Times New Roman" w:hAnsi="Times New Roman"/>
          <w:b w:val="0"/>
          <w:i w:val="0"/>
          <w:sz w:val="24"/>
          <w:szCs w:val="24"/>
        </w:rPr>
        <w:t>49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</w:t>
      </w:r>
      <w:r w:rsidR="00641004">
        <w:t>Ленин</w:t>
      </w:r>
      <w:r w:rsidR="007B4F36">
        <w:t>а</w:t>
      </w:r>
      <w:r>
        <w:t xml:space="preserve">, д. </w:t>
      </w:r>
      <w:r w:rsidR="00641004">
        <w:t>49</w:t>
      </w:r>
      <w:r>
        <w:t xml:space="preserve">, </w:t>
      </w:r>
      <w:proofErr w:type="spellStart"/>
      <w:r>
        <w:t>пом</w:t>
      </w:r>
      <w:proofErr w:type="spellEnd"/>
      <w:r>
        <w:t xml:space="preserve">. </w:t>
      </w:r>
      <w:r w:rsidR="00641004">
        <w:t>67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641004">
        <w:t>158,1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7B4F36">
        <w:t>подвал МКД</w:t>
      </w:r>
      <w:r>
        <w:t>.</w:t>
      </w:r>
    </w:p>
    <w:p w:rsidR="00641004" w:rsidRPr="002137AC" w:rsidRDefault="00641004" w:rsidP="0064100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выписка из Единого государственного реестра недвижимости в отношении Объекта,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Информация о т</w:t>
      </w:r>
      <w:r w:rsidRPr="00375CD6">
        <w:rPr>
          <w:sz w:val="24"/>
          <w:szCs w:val="24"/>
        </w:rPr>
        <w:t>ехническо</w:t>
      </w:r>
      <w:r>
        <w:rPr>
          <w:sz w:val="24"/>
          <w:szCs w:val="24"/>
        </w:rPr>
        <w:t>м</w:t>
      </w:r>
      <w:r w:rsidRPr="00375CD6">
        <w:rPr>
          <w:sz w:val="24"/>
          <w:szCs w:val="24"/>
        </w:rPr>
        <w:t xml:space="preserve"> состояние</w:t>
      </w:r>
      <w:r>
        <w:rPr>
          <w:sz w:val="24"/>
          <w:szCs w:val="24"/>
        </w:rPr>
        <w:t xml:space="preserve"> объекта приведена в </w:t>
      </w:r>
      <w:r w:rsidRPr="00375CD6">
        <w:rPr>
          <w:sz w:val="24"/>
          <w:szCs w:val="24"/>
        </w:rPr>
        <w:t>Приложени</w:t>
      </w:r>
      <w:r>
        <w:rPr>
          <w:sz w:val="24"/>
          <w:szCs w:val="24"/>
        </w:rPr>
        <w:t>и</w:t>
      </w:r>
      <w:r w:rsidRPr="00375CD6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  <w:r w:rsidRPr="00375CD6">
        <w:rPr>
          <w:sz w:val="24"/>
          <w:szCs w:val="24"/>
        </w:rPr>
        <w:t xml:space="preserve"> к  </w:t>
      </w:r>
      <w:r w:rsidRPr="00375CD6">
        <w:rPr>
          <w:bCs/>
          <w:sz w:val="24"/>
          <w:szCs w:val="24"/>
        </w:rPr>
        <w:t xml:space="preserve"> настоящему информационному сообщению</w:t>
      </w:r>
      <w:r>
        <w:rPr>
          <w:bCs/>
          <w:sz w:val="24"/>
          <w:szCs w:val="24"/>
        </w:rPr>
        <w:t xml:space="preserve"> (</w:t>
      </w:r>
      <w:r w:rsidRPr="00375CD6">
        <w:rPr>
          <w:sz w:val="24"/>
          <w:szCs w:val="24"/>
        </w:rPr>
        <w:t xml:space="preserve">акт визуального осмотра от </w:t>
      </w:r>
      <w:r>
        <w:rPr>
          <w:sz w:val="24"/>
          <w:szCs w:val="24"/>
        </w:rPr>
        <w:t>13.04.2021)</w:t>
      </w:r>
      <w:r w:rsidRPr="008E0CC4">
        <w:rPr>
          <w:sz w:val="24"/>
          <w:szCs w:val="24"/>
        </w:rPr>
        <w:t>.</w:t>
      </w:r>
      <w:proofErr w:type="gramEnd"/>
      <w:r w:rsidRPr="008E0CC4">
        <w:rPr>
          <w:sz w:val="24"/>
          <w:szCs w:val="24"/>
        </w:rPr>
        <w:t xml:space="preserve"> Помещение имеет отдельны</w:t>
      </w:r>
      <w:r>
        <w:rPr>
          <w:sz w:val="24"/>
          <w:szCs w:val="24"/>
        </w:rPr>
        <w:t>й</w:t>
      </w:r>
      <w:r w:rsidRPr="008E0CC4">
        <w:rPr>
          <w:sz w:val="24"/>
          <w:szCs w:val="24"/>
        </w:rPr>
        <w:t xml:space="preserve"> вход</w:t>
      </w:r>
      <w:r>
        <w:rPr>
          <w:sz w:val="24"/>
          <w:szCs w:val="24"/>
        </w:rPr>
        <w:t xml:space="preserve"> со стороны ул. Ленина</w:t>
      </w:r>
      <w:r w:rsidRPr="008E0CC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Непосредственно к многоквартирному дому, в котором расположен Объект, имеются подъездные пути (асфальтированная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МКД,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641004" w:rsidRPr="00231148" w:rsidRDefault="00641004" w:rsidP="0064100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641004" w:rsidRDefault="00641004" w:rsidP="0064100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641004" w:rsidRPr="00EF1190" w:rsidRDefault="00641004" w:rsidP="0064100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связи с отсутствием заявок на участие в аукционе 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(01.12.2021, 08.07.2022).</w:t>
      </w:r>
    </w:p>
    <w:p w:rsidR="007B4F36" w:rsidRDefault="007B4F36" w:rsidP="00AC54E0">
      <w:pPr>
        <w:widowControl w:val="0"/>
        <w:ind w:firstLine="709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7B4F36">
        <w:t xml:space="preserve">1 </w:t>
      </w:r>
      <w:r w:rsidR="00641004">
        <w:t>20</w:t>
      </w:r>
      <w:r w:rsidR="007B4F36">
        <w:t>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="00651F71">
        <w:t>–</w:t>
      </w:r>
      <w:r>
        <w:t xml:space="preserve"> </w:t>
      </w:r>
      <w:r w:rsidR="00641004">
        <w:t>60</w:t>
      </w:r>
      <w:r w:rsidR="007B4F36">
        <w:t>0</w:t>
      </w:r>
      <w:r w:rsidR="00651F71">
        <w:t xml:space="preserve"> </w:t>
      </w:r>
      <w:r>
        <w:t>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DC3EAD">
        <w:rPr>
          <w:b/>
        </w:rPr>
        <w:t>1</w:t>
      </w:r>
      <w:r w:rsidR="003F3645">
        <w:rPr>
          <w:b/>
        </w:rPr>
        <w:t>1</w:t>
      </w:r>
      <w:r w:rsidRPr="00137102">
        <w:rPr>
          <w:b/>
        </w:rPr>
        <w:t xml:space="preserve">» </w:t>
      </w:r>
      <w:r w:rsidR="00641004">
        <w:rPr>
          <w:b/>
        </w:rPr>
        <w:t>ок</w:t>
      </w:r>
      <w:r w:rsidR="00B35E93">
        <w:rPr>
          <w:b/>
        </w:rPr>
        <w:t>тябр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41004">
        <w:rPr>
          <w:b/>
        </w:rPr>
        <w:t>0</w:t>
      </w:r>
      <w:r w:rsidR="003F3645">
        <w:rPr>
          <w:b/>
        </w:rPr>
        <w:t>6</w:t>
      </w:r>
      <w:r w:rsidRPr="00137102">
        <w:rPr>
          <w:b/>
        </w:rPr>
        <w:t xml:space="preserve">» </w:t>
      </w:r>
      <w:r w:rsidR="003F3645">
        <w:rPr>
          <w:b/>
        </w:rPr>
        <w:t>ноя</w:t>
      </w:r>
      <w:r w:rsidR="00B35E93">
        <w:rPr>
          <w:b/>
        </w:rPr>
        <w:t>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3F3645">
        <w:rPr>
          <w:b/>
        </w:rPr>
        <w:t>07</w:t>
      </w:r>
      <w:r w:rsidRPr="00137102">
        <w:rPr>
          <w:b/>
        </w:rPr>
        <w:t xml:space="preserve">» </w:t>
      </w:r>
      <w:r w:rsidR="003F3645">
        <w:rPr>
          <w:b/>
        </w:rPr>
        <w:t>ноя</w:t>
      </w:r>
      <w:r w:rsidR="00B35E93">
        <w:rPr>
          <w:b/>
        </w:rPr>
        <w:t>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lastRenderedPageBreak/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7B4F36">
        <w:rPr>
          <w:b/>
        </w:rPr>
        <w:t>6</w:t>
      </w:r>
      <w:r w:rsidR="00AC54E0" w:rsidRPr="00137102">
        <w:rPr>
          <w:b/>
        </w:rPr>
        <w:t xml:space="preserve"> час. </w:t>
      </w:r>
      <w:r w:rsidR="007B4F36">
        <w:rPr>
          <w:b/>
        </w:rPr>
        <w:t>0</w:t>
      </w:r>
      <w:r w:rsidR="00AC54E0" w:rsidRPr="00137102">
        <w:rPr>
          <w:b/>
        </w:rPr>
        <w:t>0  мин. «</w:t>
      </w:r>
      <w:r w:rsidR="003F3645">
        <w:rPr>
          <w:b/>
        </w:rPr>
        <w:t>09</w:t>
      </w:r>
      <w:r w:rsidR="00AC54E0" w:rsidRPr="00137102">
        <w:rPr>
          <w:b/>
        </w:rPr>
        <w:t xml:space="preserve">» </w:t>
      </w:r>
      <w:r w:rsidR="003F3645">
        <w:rPr>
          <w:b/>
        </w:rPr>
        <w:t>ноя</w:t>
      </w:r>
      <w:r w:rsidR="00B35E93">
        <w:rPr>
          <w:b/>
        </w:rPr>
        <w:t>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</w:t>
      </w:r>
      <w:r w:rsidRPr="0087350D">
        <w:rPr>
          <w:bCs/>
          <w:color w:val="000000"/>
        </w:rPr>
        <w:lastRenderedPageBreak/>
        <w:t xml:space="preserve">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641004">
        <w:rPr>
          <w:b/>
        </w:rPr>
        <w:t>240</w:t>
      </w:r>
      <w:r w:rsidR="007B4F36">
        <w:rPr>
          <w:b/>
        </w:rPr>
        <w:t xml:space="preserve">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641004">
        <w:rPr>
          <w:rFonts w:eastAsia="Calibri"/>
          <w:b/>
        </w:rPr>
        <w:t>двести сорок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</w:t>
      </w:r>
      <w:r w:rsidR="00755F54">
        <w:rPr>
          <w:rFonts w:eastAsia="Calibri"/>
          <w:bCs/>
        </w:rPr>
        <w:lastRenderedPageBreak/>
        <w:t xml:space="preserve">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641004">
        <w:t>67</w:t>
      </w:r>
      <w:r w:rsidR="007F200C">
        <w:t xml:space="preserve"> ул. </w:t>
      </w:r>
      <w:r w:rsidR="00641004">
        <w:t>Ленин</w:t>
      </w:r>
      <w:r w:rsidR="007B4F36">
        <w:t>а</w:t>
      </w:r>
      <w:r w:rsidR="007F200C">
        <w:t xml:space="preserve">, д. </w:t>
      </w:r>
      <w:r w:rsidR="00641004">
        <w:t>49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641004">
        <w:t>ок</w:t>
      </w:r>
      <w:r w:rsidR="00D73FD1">
        <w:t>тябрь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 для доступа неограниченного круга лиц части электронной площадки</w:t>
      </w:r>
      <w:proofErr w:type="gramEnd"/>
      <w:r w:rsidRPr="00E123DD">
        <w:rPr>
          <w:bCs/>
        </w:rPr>
        <w:t xml:space="preserve">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 xml:space="preserve">ий </w:t>
      </w:r>
      <w:r w:rsidR="00641004">
        <w:rPr>
          <w:sz w:val="24"/>
          <w:szCs w:val="24"/>
        </w:rPr>
        <w:t>понедельник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lastRenderedPageBreak/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641004">
        <w:rPr>
          <w:b/>
        </w:rPr>
        <w:t>60</w:t>
      </w:r>
      <w:r w:rsidR="007B4F36">
        <w:rPr>
          <w:b/>
        </w:rPr>
        <w:t xml:space="preserve"> 0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641004">
        <w:rPr>
          <w:rFonts w:eastAsia="Calibri"/>
          <w:b/>
        </w:rPr>
        <w:t>шест</w:t>
      </w:r>
      <w:r w:rsidR="007B4F36">
        <w:rPr>
          <w:rFonts w:eastAsia="Calibri"/>
          <w:b/>
        </w:rPr>
        <w:t xml:space="preserve">ьдесят </w:t>
      </w:r>
      <w:r w:rsidRPr="009F1435">
        <w:rPr>
          <w:rFonts w:eastAsia="Calibri"/>
          <w:b/>
        </w:rPr>
        <w:t>тысяч)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41004">
        <w:rPr>
          <w:rFonts w:eastAsia="Calibri"/>
          <w:b/>
        </w:rPr>
        <w:t>1</w:t>
      </w:r>
      <w:r w:rsidR="007B4F36">
        <w:rPr>
          <w:rFonts w:eastAsia="Calibri"/>
          <w:b/>
        </w:rPr>
        <w:t>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641004">
        <w:rPr>
          <w:rFonts w:eastAsia="Calibri"/>
          <w:b/>
        </w:rPr>
        <w:t>деся</w:t>
      </w:r>
      <w:r w:rsidR="00651F71">
        <w:rPr>
          <w:rFonts w:eastAsia="Calibri"/>
          <w:b/>
        </w:rPr>
        <w:t>ть</w:t>
      </w:r>
      <w:r w:rsidR="00D73FD1">
        <w:rPr>
          <w:rFonts w:eastAsia="Calibri"/>
          <w:b/>
        </w:rPr>
        <w:t xml:space="preserve"> </w:t>
      </w:r>
      <w:r w:rsidRPr="00680099">
        <w:rPr>
          <w:rFonts w:eastAsia="Calibri"/>
          <w:b/>
        </w:rPr>
        <w:t>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lastRenderedPageBreak/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</w:t>
      </w:r>
      <w:r>
        <w:lastRenderedPageBreak/>
        <w:t xml:space="preserve">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lastRenderedPageBreak/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82279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 w:rsidR="00D73FD1">
        <w:t xml:space="preserve">   </w:t>
      </w:r>
      <w:r>
        <w:tab/>
      </w:r>
      <w:r w:rsidR="002301A2">
        <w:t xml:space="preserve"> </w:t>
      </w:r>
      <w:r w:rsidR="00D73FD1">
        <w:t xml:space="preserve">        </w:t>
      </w:r>
      <w:r w:rsidR="0082279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DA9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2DBB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31735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94AD7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97F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D6A3C"/>
    <w:rsid w:val="003E180D"/>
    <w:rsid w:val="003E2A9E"/>
    <w:rsid w:val="003E6AE8"/>
    <w:rsid w:val="003F0F9F"/>
    <w:rsid w:val="003F3645"/>
    <w:rsid w:val="003F3A07"/>
    <w:rsid w:val="003F446B"/>
    <w:rsid w:val="003F4ADF"/>
    <w:rsid w:val="00400D34"/>
    <w:rsid w:val="0040113C"/>
    <w:rsid w:val="00404CEF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A7172"/>
    <w:rsid w:val="004C184E"/>
    <w:rsid w:val="004C5884"/>
    <w:rsid w:val="004C7876"/>
    <w:rsid w:val="004D0D8B"/>
    <w:rsid w:val="004D461A"/>
    <w:rsid w:val="004E3A77"/>
    <w:rsid w:val="004E4DB0"/>
    <w:rsid w:val="004E4F2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2150"/>
    <w:rsid w:val="00537F11"/>
    <w:rsid w:val="00543C75"/>
    <w:rsid w:val="005611F6"/>
    <w:rsid w:val="00564391"/>
    <w:rsid w:val="00573662"/>
    <w:rsid w:val="0058087B"/>
    <w:rsid w:val="0058374B"/>
    <w:rsid w:val="00597084"/>
    <w:rsid w:val="005A2913"/>
    <w:rsid w:val="005A64BB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004"/>
    <w:rsid w:val="00641C42"/>
    <w:rsid w:val="00651F71"/>
    <w:rsid w:val="006546CC"/>
    <w:rsid w:val="00657BD0"/>
    <w:rsid w:val="00660611"/>
    <w:rsid w:val="006911C4"/>
    <w:rsid w:val="00693BE8"/>
    <w:rsid w:val="006A2775"/>
    <w:rsid w:val="006A4990"/>
    <w:rsid w:val="006A6B38"/>
    <w:rsid w:val="006D415D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49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B4F36"/>
    <w:rsid w:val="007D085E"/>
    <w:rsid w:val="007D11F2"/>
    <w:rsid w:val="007D2279"/>
    <w:rsid w:val="007D5BE1"/>
    <w:rsid w:val="007E4536"/>
    <w:rsid w:val="007F01B8"/>
    <w:rsid w:val="007F0856"/>
    <w:rsid w:val="007F200C"/>
    <w:rsid w:val="007F201D"/>
    <w:rsid w:val="0080658A"/>
    <w:rsid w:val="00810A34"/>
    <w:rsid w:val="0082279E"/>
    <w:rsid w:val="0083234C"/>
    <w:rsid w:val="00850886"/>
    <w:rsid w:val="00850E9C"/>
    <w:rsid w:val="00861360"/>
    <w:rsid w:val="008714BC"/>
    <w:rsid w:val="0087350D"/>
    <w:rsid w:val="008813D3"/>
    <w:rsid w:val="00885F85"/>
    <w:rsid w:val="00887A37"/>
    <w:rsid w:val="00892EED"/>
    <w:rsid w:val="008A1A46"/>
    <w:rsid w:val="008A441B"/>
    <w:rsid w:val="008B4E05"/>
    <w:rsid w:val="008D0F77"/>
    <w:rsid w:val="008D4F51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31ACE"/>
    <w:rsid w:val="00A47EB7"/>
    <w:rsid w:val="00A52FF8"/>
    <w:rsid w:val="00A753BE"/>
    <w:rsid w:val="00AC1DC4"/>
    <w:rsid w:val="00AC4C64"/>
    <w:rsid w:val="00AC54E0"/>
    <w:rsid w:val="00AD5870"/>
    <w:rsid w:val="00AE2F0B"/>
    <w:rsid w:val="00AF113E"/>
    <w:rsid w:val="00AF15CE"/>
    <w:rsid w:val="00B0057F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35E93"/>
    <w:rsid w:val="00B41907"/>
    <w:rsid w:val="00B61B07"/>
    <w:rsid w:val="00B73910"/>
    <w:rsid w:val="00B751A5"/>
    <w:rsid w:val="00BA0443"/>
    <w:rsid w:val="00BB472B"/>
    <w:rsid w:val="00BC4FAE"/>
    <w:rsid w:val="00BE433F"/>
    <w:rsid w:val="00BE5B2E"/>
    <w:rsid w:val="00BE7144"/>
    <w:rsid w:val="00BE7EB6"/>
    <w:rsid w:val="00BF37B9"/>
    <w:rsid w:val="00C013E9"/>
    <w:rsid w:val="00C03136"/>
    <w:rsid w:val="00C050CD"/>
    <w:rsid w:val="00C065CD"/>
    <w:rsid w:val="00C15BFE"/>
    <w:rsid w:val="00C174F9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3FD1"/>
    <w:rsid w:val="00D7441B"/>
    <w:rsid w:val="00D864D9"/>
    <w:rsid w:val="00DA4E84"/>
    <w:rsid w:val="00DA56C7"/>
    <w:rsid w:val="00DB2220"/>
    <w:rsid w:val="00DB24F2"/>
    <w:rsid w:val="00DC3EAD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5770A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A6BF4"/>
    <w:rsid w:val="00EB38CF"/>
    <w:rsid w:val="00EE126F"/>
    <w:rsid w:val="00EE3A93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2FCC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a9d3d29a442617e8654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FD0F-D215-458F-BFDD-0CF43C04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7117</Words>
  <Characters>40567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33</cp:revision>
  <cp:lastPrinted>2022-09-08T03:38:00Z</cp:lastPrinted>
  <dcterms:created xsi:type="dcterms:W3CDTF">2022-04-01T07:22:00Z</dcterms:created>
  <dcterms:modified xsi:type="dcterms:W3CDTF">2022-10-05T07:22:00Z</dcterms:modified>
</cp:coreProperties>
</file>