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 продаж</w:t>
      </w:r>
      <w:r w:rsidR="004C01CF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20129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520129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520129">
        <w:rPr>
          <w:rFonts w:ascii="Times New Roman" w:hAnsi="Times New Roman"/>
          <w:sz w:val="24"/>
          <w:szCs w:val="24"/>
        </w:rPr>
        <w:t>11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520129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C01CF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20129">
        <w:rPr>
          <w:rFonts w:ascii="Times New Roman" w:hAnsi="Times New Roman"/>
          <w:sz w:val="24"/>
          <w:szCs w:val="24"/>
        </w:rPr>
        <w:t>43 2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20129">
        <w:rPr>
          <w:rFonts w:ascii="Times New Roman" w:hAnsi="Times New Roman"/>
          <w:sz w:val="24"/>
          <w:szCs w:val="24"/>
        </w:rPr>
        <w:t>сорок три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520129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520129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4C01C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4C01C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4C01C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4C01CF"/>
    <w:rsid w:val="00520129"/>
    <w:rsid w:val="005325A2"/>
    <w:rsid w:val="00624163"/>
    <w:rsid w:val="006A5928"/>
    <w:rsid w:val="008024FC"/>
    <w:rsid w:val="00871394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9C509-D316-4DAE-9644-02F35665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2022-05-30T07:41:00Z</dcterms:modified>
</cp:coreProperties>
</file>