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87350D" w:rsidRDefault="00AC54E0" w:rsidP="00AC54E0">
      <w:pPr>
        <w:widowControl w:val="0"/>
        <w:jc w:val="center"/>
        <w:outlineLvl w:val="0"/>
        <w:rPr>
          <w:b/>
        </w:rPr>
      </w:pPr>
      <w:r w:rsidRPr="0087350D">
        <w:rPr>
          <w:b/>
        </w:rPr>
        <w:t xml:space="preserve">ИНФОРМАЦИОННОЕ СООБЩЕНИЕ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Комитет по управлению муниципальным имуществом  </w:t>
      </w:r>
      <w:proofErr w:type="gramStart"/>
      <w:r w:rsidR="00351EE7">
        <w:rPr>
          <w:b/>
        </w:rPr>
        <w:t>А</w:t>
      </w:r>
      <w:r w:rsidRPr="0087350D">
        <w:rPr>
          <w:b/>
        </w:rPr>
        <w:t>дминистрации</w:t>
      </w:r>
      <w:proofErr w:type="gramEnd"/>
      <w:r w:rsidRPr="0087350D">
        <w:rPr>
          <w:b/>
        </w:rPr>
        <w:t xml:space="preserve"> </w:t>
      </w:r>
      <w:r w:rsidR="00D37700">
        <w:rPr>
          <w:b/>
        </w:rPr>
        <w:t xml:space="preserve">ЗАТО  </w:t>
      </w:r>
      <w:r w:rsidR="00351EE7">
        <w:rPr>
          <w:b/>
        </w:rPr>
        <w:t xml:space="preserve">                             </w:t>
      </w:r>
      <w:r w:rsidR="00D37700">
        <w:rPr>
          <w:b/>
        </w:rPr>
        <w:t xml:space="preserve">   г.</w:t>
      </w:r>
      <w:r w:rsidRPr="0087350D">
        <w:rPr>
          <w:b/>
        </w:rPr>
        <w:t xml:space="preserve"> </w:t>
      </w:r>
      <w:r w:rsidR="00D37700">
        <w:rPr>
          <w:b/>
        </w:rPr>
        <w:t xml:space="preserve">Железногорск  </w:t>
      </w:r>
      <w:r w:rsidRPr="0087350D">
        <w:rPr>
          <w:b/>
        </w:rPr>
        <w:t xml:space="preserve">сообщает о проведении продажи муниципального имущества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на аукционе в электронной форме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(извещение на сайте </w:t>
      </w:r>
      <w:hyperlink r:id="rId6" w:history="1">
        <w:r w:rsidRPr="0087350D">
          <w:rPr>
            <w:b/>
          </w:rPr>
          <w:t>www.torgi.gov.ru</w:t>
        </w:r>
      </w:hyperlink>
      <w:r w:rsidRPr="0087350D">
        <w:rPr>
          <w:b/>
        </w:rPr>
        <w:t xml:space="preserve"> №</w:t>
      </w:r>
      <w:r w:rsidR="000A53B9">
        <w:rPr>
          <w:b/>
        </w:rPr>
        <w:t xml:space="preserve"> </w:t>
      </w:r>
      <w:r w:rsidR="00896F05" w:rsidRPr="00896F05">
        <w:rPr>
          <w:b/>
          <w:bCs/>
          <w:u w:val="single"/>
        </w:rPr>
        <w:t>250520/2896549/01</w:t>
      </w:r>
      <w:r w:rsidR="00BA0443" w:rsidRPr="0087350D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336"/>
      </w:tblGrid>
      <w:tr w:rsidR="00AC54E0" w:rsidRPr="0087350D" w:rsidTr="00657BD0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336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657BD0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ЗАО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657BD0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3A1612" w:rsidRPr="0087350D" w:rsidTr="00657BD0">
        <w:trPr>
          <w:trHeight w:val="429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</w:t>
            </w:r>
            <w:r>
              <w:rPr>
                <w:rFonts w:eastAsia="Calibri"/>
                <w:color w:val="000000"/>
              </w:rPr>
              <w:t>пользователь,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лицо, </w:t>
            </w:r>
            <w:r>
              <w:rPr>
                <w:rFonts w:eastAsia="Calibri"/>
                <w:color w:val="000000"/>
              </w:rPr>
              <w:t xml:space="preserve">уполномоченное собственником имущества выполнять соответствующие функции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организации продажи 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6336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7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ЗАО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8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D5091A">
        <w:t xml:space="preserve">, </w:t>
      </w:r>
      <w:r w:rsidR="00D5091A" w:rsidRPr="00D5091A">
        <w:t xml:space="preserve">решением Совета </w:t>
      </w:r>
      <w:proofErr w:type="gramStart"/>
      <w:r w:rsidR="00D5091A" w:rsidRPr="00D5091A">
        <w:t>депутатов</w:t>
      </w:r>
      <w:proofErr w:type="gramEnd"/>
      <w:r w:rsidR="00D5091A" w:rsidRPr="00D5091A">
        <w:t xml:space="preserve"> ЗАТО </w:t>
      </w:r>
      <w:r w:rsidR="00657BD0">
        <w:t xml:space="preserve">           </w:t>
      </w:r>
      <w:r w:rsidR="00D5091A" w:rsidRPr="00D5091A">
        <w:t xml:space="preserve">г. Железногорск от </w:t>
      </w:r>
      <w:r w:rsidR="00231148">
        <w:t>08.10.2019</w:t>
      </w:r>
      <w:r w:rsidR="00D5091A" w:rsidRPr="00D5091A">
        <w:t xml:space="preserve"> № </w:t>
      </w:r>
      <w:r w:rsidR="00231148">
        <w:t>46-260</w:t>
      </w:r>
      <w:r w:rsidR="00D5091A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231148">
        <w:t>20</w:t>
      </w:r>
      <w:r w:rsidR="00D5091A" w:rsidRPr="00D5091A">
        <w:t xml:space="preserve"> год»</w:t>
      </w:r>
      <w:r w:rsidRPr="00D5091A">
        <w:rPr>
          <w:color w:val="000000"/>
        </w:rPr>
        <w:t>,</w:t>
      </w:r>
      <w:r w:rsidRPr="0087350D">
        <w:rPr>
          <w:color w:val="000000"/>
        </w:rPr>
        <w:t xml:space="preserve"> 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9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C56CBE">
        <w:rPr>
          <w:rFonts w:ascii="Times New Roman" w:hAnsi="Times New Roman"/>
          <w:b w:val="0"/>
          <w:i w:val="0"/>
          <w:sz w:val="24"/>
          <w:szCs w:val="24"/>
        </w:rPr>
        <w:t>20</w:t>
      </w:r>
      <w:r w:rsidR="0039754C">
        <w:rPr>
          <w:rFonts w:ascii="Times New Roman" w:hAnsi="Times New Roman"/>
          <w:b w:val="0"/>
          <w:i w:val="0"/>
          <w:sz w:val="24"/>
          <w:szCs w:val="24"/>
        </w:rPr>
        <w:t>.05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.2020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C56CBE">
        <w:rPr>
          <w:rFonts w:ascii="Times New Roman" w:hAnsi="Times New Roman"/>
          <w:b w:val="0"/>
          <w:i w:val="0"/>
          <w:sz w:val="24"/>
          <w:szCs w:val="24"/>
        </w:rPr>
        <w:t>160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нежилого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помеще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ния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15/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по ул. 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Советской Армии</w:t>
      </w:r>
      <w:r w:rsidR="00700897">
        <w:rPr>
          <w:rFonts w:ascii="Times New Roman" w:hAnsi="Times New Roman"/>
          <w:b w:val="0"/>
          <w:i w:val="0"/>
          <w:sz w:val="24"/>
          <w:szCs w:val="24"/>
        </w:rPr>
        <w:t xml:space="preserve">, д.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 Объект</w:t>
      </w:r>
      <w:r w:rsidRPr="00D51EB0">
        <w:t xml:space="preserve"> –  нежилое </w:t>
      </w:r>
      <w:r w:rsidR="008E0CC4">
        <w:t>помеще</w:t>
      </w:r>
      <w:r w:rsidRPr="00D51EB0">
        <w:t>ние;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 </w:t>
      </w:r>
      <w:proofErr w:type="gramStart"/>
      <w:r w:rsidRPr="00D51EB0">
        <w:rPr>
          <w:b/>
        </w:rPr>
        <w:t xml:space="preserve">Адрес  – </w:t>
      </w:r>
      <w:r w:rsidRPr="00D51EB0">
        <w:t>Российская Федерация,</w:t>
      </w:r>
      <w:r w:rsidRPr="00D51EB0">
        <w:rPr>
          <w:b/>
        </w:rPr>
        <w:t xml:space="preserve"> </w:t>
      </w:r>
      <w:r w:rsidRPr="00D51EB0">
        <w:t xml:space="preserve">Красноярский край, ЗАТО Железногорск, </w:t>
      </w:r>
      <w:r w:rsidR="00700897">
        <w:t xml:space="preserve">г. </w:t>
      </w:r>
      <w:r w:rsidR="008E0CC4">
        <w:t>Железногорск</w:t>
      </w:r>
      <w:r w:rsidR="00700897">
        <w:t xml:space="preserve">, ул. </w:t>
      </w:r>
      <w:r w:rsidR="00231148">
        <w:t>Советской Армии</w:t>
      </w:r>
      <w:r w:rsidR="00700897">
        <w:t xml:space="preserve">, д. </w:t>
      </w:r>
      <w:r w:rsidR="008E0CC4">
        <w:t>3</w:t>
      </w:r>
      <w:r w:rsidR="00231148">
        <w:t>0</w:t>
      </w:r>
      <w:r w:rsidR="008E0CC4">
        <w:t xml:space="preserve">, </w:t>
      </w:r>
      <w:proofErr w:type="spellStart"/>
      <w:r w:rsidR="008E0CC4">
        <w:t>пом</w:t>
      </w:r>
      <w:proofErr w:type="spellEnd"/>
      <w:r w:rsidR="008E0CC4">
        <w:t xml:space="preserve">. </w:t>
      </w:r>
      <w:r w:rsidR="00231148">
        <w:t>15/</w:t>
      </w:r>
      <w:r w:rsidR="008E0CC4">
        <w:t>1</w:t>
      </w:r>
      <w:r w:rsidRPr="00D51EB0">
        <w:t>.</w:t>
      </w:r>
      <w:proofErr w:type="gramEnd"/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Площадь – </w:t>
      </w:r>
      <w:r w:rsidR="00231148">
        <w:t>11,1</w:t>
      </w:r>
      <w:r w:rsidRPr="00D51EB0">
        <w:t xml:space="preserve">  кв. метров;</w:t>
      </w:r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Год ввода в эксплуатацию – </w:t>
      </w:r>
      <w:r w:rsidR="00700897">
        <w:t>19</w:t>
      </w:r>
      <w:r w:rsidR="00231148">
        <w:t>73</w:t>
      </w:r>
      <w:r w:rsidRPr="00D51EB0">
        <w:t>г.</w:t>
      </w:r>
    </w:p>
    <w:p w:rsidR="001A4F82" w:rsidRPr="00D51EB0" w:rsidRDefault="001A4F82" w:rsidP="001A4F82">
      <w:pPr>
        <w:ind w:left="360"/>
        <w:jc w:val="both"/>
        <w:rPr>
          <w:b/>
        </w:rPr>
      </w:pPr>
      <w:r w:rsidRPr="00D51EB0">
        <w:rPr>
          <w:b/>
        </w:rPr>
        <w:t xml:space="preserve">Этажность – </w:t>
      </w:r>
      <w:r w:rsidR="00231148">
        <w:t>4 этаж четырехэтажного нежилого здания</w:t>
      </w:r>
      <w:r w:rsidRPr="00D51EB0">
        <w:t>.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Назначение </w:t>
      </w:r>
      <w:r w:rsidRPr="00D51EB0">
        <w:t>– нежилое.</w:t>
      </w:r>
    </w:p>
    <w:p w:rsidR="008E0CC4" w:rsidRPr="00231148" w:rsidRDefault="00D51EB0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8E0CC4">
        <w:rPr>
          <w:sz w:val="24"/>
          <w:szCs w:val="24"/>
        </w:rPr>
        <w:t xml:space="preserve">   </w:t>
      </w:r>
      <w:r w:rsidR="008E0CC4"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 w:rsidR="00231148">
        <w:rPr>
          <w:sz w:val="24"/>
          <w:szCs w:val="24"/>
        </w:rPr>
        <w:t>на 4 этаже четырехэтажного нежилого здания</w:t>
      </w:r>
      <w:r w:rsidR="008E0CC4" w:rsidRPr="008E0CC4">
        <w:rPr>
          <w:sz w:val="24"/>
          <w:szCs w:val="24"/>
        </w:rPr>
        <w:t xml:space="preserve"> по адресу: </w:t>
      </w:r>
      <w:proofErr w:type="gramStart"/>
      <w:r w:rsidR="008E0CC4" w:rsidRPr="008E0CC4">
        <w:rPr>
          <w:sz w:val="24"/>
          <w:szCs w:val="24"/>
        </w:rPr>
        <w:t>г</w:t>
      </w:r>
      <w:proofErr w:type="gramEnd"/>
      <w:r w:rsidR="008E0CC4" w:rsidRPr="008E0CC4">
        <w:rPr>
          <w:sz w:val="24"/>
          <w:szCs w:val="24"/>
        </w:rPr>
        <w:t xml:space="preserve">. Железногорск, ул. </w:t>
      </w:r>
      <w:r w:rsidR="00231148">
        <w:rPr>
          <w:sz w:val="24"/>
          <w:szCs w:val="24"/>
        </w:rPr>
        <w:t>Советской Армии</w:t>
      </w:r>
      <w:r w:rsidR="008E0CC4" w:rsidRPr="008E0CC4">
        <w:rPr>
          <w:sz w:val="24"/>
          <w:szCs w:val="24"/>
        </w:rPr>
        <w:t>, д. 3</w:t>
      </w:r>
      <w:r w:rsidR="00231148">
        <w:rPr>
          <w:sz w:val="24"/>
          <w:szCs w:val="24"/>
        </w:rPr>
        <w:t>0</w:t>
      </w:r>
      <w:r w:rsidR="008E0CC4" w:rsidRPr="008E0CC4">
        <w:rPr>
          <w:sz w:val="24"/>
          <w:szCs w:val="24"/>
        </w:rPr>
        <w:t>, введенного в эксплуатацию  в 19</w:t>
      </w:r>
      <w:r w:rsidR="00231148">
        <w:rPr>
          <w:sz w:val="24"/>
          <w:szCs w:val="24"/>
        </w:rPr>
        <w:t>73</w:t>
      </w:r>
      <w:r w:rsidR="008E0CC4" w:rsidRPr="008E0CC4">
        <w:rPr>
          <w:sz w:val="24"/>
          <w:szCs w:val="24"/>
        </w:rPr>
        <w:t xml:space="preserve">г. Помещение </w:t>
      </w:r>
      <w:r w:rsidR="00231148">
        <w:rPr>
          <w:sz w:val="24"/>
          <w:szCs w:val="24"/>
        </w:rPr>
        <w:t xml:space="preserve">отдельного входа с улицы не </w:t>
      </w:r>
      <w:r w:rsidR="008E0CC4" w:rsidRPr="008E0CC4">
        <w:rPr>
          <w:sz w:val="24"/>
          <w:szCs w:val="24"/>
        </w:rPr>
        <w:t>имеет</w:t>
      </w:r>
      <w:r w:rsidR="00231148">
        <w:rPr>
          <w:sz w:val="24"/>
          <w:szCs w:val="24"/>
        </w:rPr>
        <w:t>. Доступ в помещение осуществляется через коридоры, лестничные клетки, являющиеся местами общего пользования.</w:t>
      </w:r>
      <w:r w:rsidR="008E0CC4" w:rsidRPr="008E0CC4">
        <w:rPr>
          <w:sz w:val="24"/>
          <w:szCs w:val="24"/>
        </w:rPr>
        <w:t xml:space="preserve"> </w:t>
      </w:r>
      <w:r w:rsidR="00231148">
        <w:rPr>
          <w:sz w:val="24"/>
          <w:szCs w:val="24"/>
        </w:rPr>
        <w:t xml:space="preserve">К нежилому зданию </w:t>
      </w:r>
      <w:r w:rsidR="008E0CC4" w:rsidRPr="008E0CC4">
        <w:rPr>
          <w:sz w:val="24"/>
          <w:szCs w:val="24"/>
        </w:rPr>
        <w:t xml:space="preserve">имеются подъездные пути, парковка. Фундамент </w:t>
      </w:r>
      <w:r w:rsidR="00231148">
        <w:rPr>
          <w:sz w:val="24"/>
          <w:szCs w:val="24"/>
        </w:rPr>
        <w:t xml:space="preserve">здания </w:t>
      </w:r>
      <w:r w:rsidR="008E0CC4" w:rsidRPr="008E0CC4">
        <w:rPr>
          <w:sz w:val="24"/>
          <w:szCs w:val="24"/>
        </w:rPr>
        <w:t xml:space="preserve">– железобетонный. Наружные стены – </w:t>
      </w:r>
      <w:r w:rsidR="0042009C">
        <w:rPr>
          <w:bCs/>
          <w:sz w:val="24"/>
          <w:szCs w:val="24"/>
        </w:rPr>
        <w:t>к</w:t>
      </w:r>
      <w:r w:rsidR="0042009C" w:rsidRPr="0042009C">
        <w:rPr>
          <w:bCs/>
          <w:sz w:val="24"/>
          <w:szCs w:val="24"/>
        </w:rPr>
        <w:t>аменные и</w:t>
      </w:r>
      <w:r w:rsidR="0042009C">
        <w:rPr>
          <w:b/>
          <w:bCs/>
        </w:rPr>
        <w:t xml:space="preserve"> </w:t>
      </w:r>
      <w:r w:rsidR="008E0CC4"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="008E0CC4" w:rsidRPr="008E0CC4">
        <w:rPr>
          <w:color w:val="FF0000"/>
          <w:sz w:val="24"/>
          <w:szCs w:val="24"/>
        </w:rPr>
        <w:t xml:space="preserve"> </w:t>
      </w:r>
      <w:r w:rsidR="00231148" w:rsidRPr="00231148">
        <w:rPr>
          <w:sz w:val="24"/>
          <w:szCs w:val="24"/>
        </w:rPr>
        <w:t>Центра</w:t>
      </w:r>
      <w:r w:rsidR="00231148">
        <w:rPr>
          <w:sz w:val="24"/>
          <w:szCs w:val="24"/>
        </w:rPr>
        <w:t>лизованные системы горячего и холодного водоснабжения, канализации расположены в местах общего пользования здания</w:t>
      </w:r>
      <w:r w:rsidR="0042009C">
        <w:rPr>
          <w:sz w:val="24"/>
          <w:szCs w:val="24"/>
        </w:rPr>
        <w:t xml:space="preserve">. </w:t>
      </w:r>
    </w:p>
    <w:p w:rsidR="00EF1190" w:rsidRPr="00EF1190" w:rsidRDefault="00EF1190" w:rsidP="00EF1190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 xml:space="preserve">Информация о предыдущих торгах: продажа объекта </w:t>
      </w:r>
      <w:r w:rsidR="0039754C">
        <w:rPr>
          <w:color w:val="000000"/>
          <w:sz w:val="24"/>
          <w:szCs w:val="24"/>
        </w:rPr>
        <w:t>на аукционе 14.05.2020 была признана несостоявшейся в связи с отсутствием заявок на участие в аукционе</w:t>
      </w:r>
      <w:r w:rsidRPr="00EF1190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42009C">
        <w:t>148 800,</w:t>
      </w:r>
      <w:r w:rsidR="008E0CC4" w:rsidRPr="008E0CC4">
        <w:t xml:space="preserve">00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D51EB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51EB0">
        <w:rPr>
          <w:b/>
        </w:rPr>
        <w:t>2.6. Сроки, время подачи заявок, проведения</w:t>
      </w:r>
      <w:r w:rsidRPr="00D51EB0">
        <w:t xml:space="preserve"> </w:t>
      </w:r>
      <w:r w:rsidRPr="00D51EB0">
        <w:rPr>
          <w:b/>
        </w:rPr>
        <w:t>аукциона в электронной форме, подведения итогов аукциона.</w:t>
      </w:r>
    </w:p>
    <w:p w:rsidR="00AC54E0" w:rsidRPr="00D51EB0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Указанное в настоящем информационном сообщении время – московское.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</w:t>
      </w:r>
      <w:r w:rsidRPr="0087350D">
        <w:rPr>
          <w:bCs/>
        </w:rPr>
        <w:t xml:space="preserve"> – московское.</w:t>
      </w:r>
    </w:p>
    <w:p w:rsidR="00AC54E0" w:rsidRPr="00C56CBE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87350D">
        <w:rPr>
          <w:b/>
        </w:rPr>
        <w:t>Дата начала приема заявок</w:t>
      </w:r>
      <w:r w:rsidRPr="0087350D">
        <w:t xml:space="preserve"> на участие в аукционе – </w:t>
      </w:r>
      <w:r w:rsidR="00431EEE" w:rsidRPr="00C56CBE">
        <w:rPr>
          <w:b/>
        </w:rPr>
        <w:t>с 0</w:t>
      </w:r>
      <w:r w:rsidR="00D5091A" w:rsidRPr="00C56CBE">
        <w:rPr>
          <w:b/>
        </w:rPr>
        <w:t>8</w:t>
      </w:r>
      <w:r w:rsidR="00431EEE" w:rsidRPr="00C56CBE">
        <w:rPr>
          <w:b/>
        </w:rPr>
        <w:t xml:space="preserve"> час. 00  мин. «</w:t>
      </w:r>
      <w:r w:rsidR="0039754C" w:rsidRPr="00C56CBE">
        <w:rPr>
          <w:b/>
        </w:rPr>
        <w:t>2</w:t>
      </w:r>
      <w:r w:rsidR="00C56CBE">
        <w:rPr>
          <w:b/>
        </w:rPr>
        <w:t>9</w:t>
      </w:r>
      <w:r w:rsidRPr="00C56CBE">
        <w:rPr>
          <w:b/>
        </w:rPr>
        <w:t xml:space="preserve">» </w:t>
      </w:r>
      <w:r w:rsidR="005033AE" w:rsidRPr="00C56CBE">
        <w:rPr>
          <w:b/>
        </w:rPr>
        <w:t>ма</w:t>
      </w:r>
      <w:r w:rsidR="0039754C" w:rsidRPr="00C56CBE">
        <w:rPr>
          <w:b/>
        </w:rPr>
        <w:t>я</w:t>
      </w:r>
      <w:r w:rsidR="00266EFC" w:rsidRPr="00C56CBE">
        <w:rPr>
          <w:b/>
        </w:rPr>
        <w:t xml:space="preserve"> </w:t>
      </w:r>
      <w:r w:rsidRPr="00C56CBE">
        <w:rPr>
          <w:b/>
        </w:rPr>
        <w:t xml:space="preserve"> 20</w:t>
      </w:r>
      <w:r w:rsidR="005033AE" w:rsidRPr="00C56CBE">
        <w:rPr>
          <w:b/>
        </w:rPr>
        <w:t>20</w:t>
      </w:r>
      <w:r w:rsidRPr="00C56CBE">
        <w:rPr>
          <w:b/>
        </w:rPr>
        <w:t xml:space="preserve"> года.</w:t>
      </w:r>
    </w:p>
    <w:p w:rsidR="00AC54E0" w:rsidRPr="00C56CBE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C56CBE">
        <w:rPr>
          <w:b/>
        </w:rPr>
        <w:t>Дата окончания приема заявок</w:t>
      </w:r>
      <w:r w:rsidRPr="00C56CBE">
        <w:t xml:space="preserve"> на участие в аукционе – </w:t>
      </w:r>
      <w:r w:rsidRPr="00C56CBE">
        <w:rPr>
          <w:b/>
        </w:rPr>
        <w:t xml:space="preserve">в </w:t>
      </w:r>
      <w:r w:rsidR="00D45CBE" w:rsidRPr="00C56CBE">
        <w:rPr>
          <w:b/>
        </w:rPr>
        <w:t>17 час. 00 мин. «</w:t>
      </w:r>
      <w:r w:rsidR="00694A7B" w:rsidRPr="00C56CBE">
        <w:rPr>
          <w:b/>
        </w:rPr>
        <w:t>0</w:t>
      </w:r>
      <w:r w:rsidR="00C56CBE" w:rsidRPr="00C56CBE">
        <w:rPr>
          <w:b/>
        </w:rPr>
        <w:t>3</w:t>
      </w:r>
      <w:r w:rsidRPr="00C56CBE">
        <w:rPr>
          <w:b/>
        </w:rPr>
        <w:t xml:space="preserve">» </w:t>
      </w:r>
      <w:r w:rsidR="0039754C" w:rsidRPr="00C56CBE">
        <w:rPr>
          <w:b/>
        </w:rPr>
        <w:t>июл</w:t>
      </w:r>
      <w:r w:rsidR="00266EFC" w:rsidRPr="00C56CBE">
        <w:rPr>
          <w:b/>
        </w:rPr>
        <w:t xml:space="preserve">я </w:t>
      </w:r>
      <w:r w:rsidRPr="00C56CBE">
        <w:rPr>
          <w:b/>
        </w:rPr>
        <w:t xml:space="preserve"> 20</w:t>
      </w:r>
      <w:r w:rsidR="003C61C3" w:rsidRPr="00C56CBE">
        <w:rPr>
          <w:b/>
        </w:rPr>
        <w:t>20</w:t>
      </w:r>
      <w:r w:rsidRPr="00C56CBE">
        <w:rPr>
          <w:b/>
        </w:rPr>
        <w:t xml:space="preserve"> года. </w:t>
      </w:r>
    </w:p>
    <w:p w:rsidR="00AC54E0" w:rsidRPr="00C56CBE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C56CBE">
        <w:rPr>
          <w:b/>
        </w:rPr>
        <w:t>Рассмотрение заявок и признание претендентов участниками</w:t>
      </w:r>
      <w:r w:rsidRPr="00C56CBE">
        <w:t xml:space="preserve"> </w:t>
      </w:r>
      <w:r w:rsidRPr="00C56CBE">
        <w:rPr>
          <w:b/>
        </w:rPr>
        <w:t>аукциона</w:t>
      </w:r>
      <w:r w:rsidRPr="00C56CBE">
        <w:t xml:space="preserve"> состоится  </w:t>
      </w:r>
      <w:r w:rsidR="00D45CBE" w:rsidRPr="00C56CBE">
        <w:rPr>
          <w:b/>
        </w:rPr>
        <w:t>«</w:t>
      </w:r>
      <w:r w:rsidR="00694A7B" w:rsidRPr="00C56CBE">
        <w:rPr>
          <w:b/>
        </w:rPr>
        <w:t>06</w:t>
      </w:r>
      <w:r w:rsidRPr="00C56CBE">
        <w:rPr>
          <w:b/>
        </w:rPr>
        <w:t xml:space="preserve">» </w:t>
      </w:r>
      <w:r w:rsidR="0039754C" w:rsidRPr="00C56CBE">
        <w:rPr>
          <w:b/>
        </w:rPr>
        <w:t>июл</w:t>
      </w:r>
      <w:r w:rsidR="00266EFC" w:rsidRPr="00C56CBE">
        <w:rPr>
          <w:b/>
        </w:rPr>
        <w:t>я</w:t>
      </w:r>
      <w:r w:rsidRPr="00C56CBE">
        <w:rPr>
          <w:b/>
        </w:rPr>
        <w:t xml:space="preserve"> 20</w:t>
      </w:r>
      <w:r w:rsidR="003C61C3" w:rsidRPr="00C56CBE">
        <w:rPr>
          <w:b/>
        </w:rPr>
        <w:t>20</w:t>
      </w:r>
      <w:r w:rsidRPr="00C56CBE">
        <w:rPr>
          <w:b/>
        </w:rPr>
        <w:t xml:space="preserve"> года. </w:t>
      </w:r>
    </w:p>
    <w:p w:rsidR="00AC54E0" w:rsidRPr="00C56CBE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C56CBE">
        <w:rPr>
          <w:b/>
        </w:rPr>
        <w:t>Аукцион в электронной форме состоится</w:t>
      </w:r>
      <w:r w:rsidRPr="00C56CBE">
        <w:t xml:space="preserve"> </w:t>
      </w:r>
      <w:r w:rsidRPr="00C56CBE">
        <w:rPr>
          <w:b/>
        </w:rPr>
        <w:t>в 10 час. 00  мин. «</w:t>
      </w:r>
      <w:r w:rsidR="00694A7B" w:rsidRPr="00C56CBE">
        <w:rPr>
          <w:b/>
        </w:rPr>
        <w:t>07</w:t>
      </w:r>
      <w:r w:rsidRPr="00C56CBE">
        <w:rPr>
          <w:b/>
        </w:rPr>
        <w:t xml:space="preserve">» </w:t>
      </w:r>
      <w:r w:rsidR="0039754C" w:rsidRPr="00C56CBE">
        <w:rPr>
          <w:b/>
        </w:rPr>
        <w:t>июл</w:t>
      </w:r>
      <w:r w:rsidR="00266EFC" w:rsidRPr="00C56CBE">
        <w:rPr>
          <w:b/>
        </w:rPr>
        <w:t>я</w:t>
      </w:r>
      <w:r w:rsidRPr="00C56CBE">
        <w:rPr>
          <w:b/>
        </w:rPr>
        <w:t xml:space="preserve"> 20</w:t>
      </w:r>
      <w:r w:rsidR="003C61C3" w:rsidRPr="00C56CBE">
        <w:rPr>
          <w:b/>
        </w:rPr>
        <w:t>20</w:t>
      </w:r>
      <w:r w:rsidRPr="00C56CBE">
        <w:rPr>
          <w:b/>
        </w:rPr>
        <w:t xml:space="preserve"> года. </w:t>
      </w:r>
    </w:p>
    <w:p w:rsidR="00AC54E0" w:rsidRDefault="00AC54E0" w:rsidP="00AC54E0">
      <w:pPr>
        <w:widowControl w:val="0"/>
        <w:ind w:firstLine="709"/>
        <w:jc w:val="both"/>
      </w:pPr>
      <w:r w:rsidRPr="0087350D">
        <w:rPr>
          <w:b/>
        </w:rPr>
        <w:t>Место проведения электронного аукциона:</w:t>
      </w:r>
      <w:r w:rsidRPr="0087350D">
        <w:t xml:space="preserve"> электронная площадка – универсальная торговая платформа ЗАО «</w:t>
      </w:r>
      <w:proofErr w:type="spellStart"/>
      <w:r w:rsidRPr="0087350D">
        <w:t>Сбербанк-АСТ</w:t>
      </w:r>
      <w:proofErr w:type="spellEnd"/>
      <w:r w:rsidRPr="0087350D">
        <w:t>», размещенная на сайте http://utp.sberbank-ast.ru в сети Интернет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AC54E0" w:rsidRPr="0087350D" w:rsidRDefault="00AC54E0" w:rsidP="00AC54E0">
      <w:pPr>
        <w:ind w:firstLine="708"/>
        <w:jc w:val="both"/>
        <w:rPr>
          <w:color w:val="333333"/>
        </w:rPr>
      </w:pPr>
      <w:r w:rsidRPr="0087350D">
        <w:rPr>
          <w:color w:val="333333"/>
        </w:rPr>
        <w:t xml:space="preserve">К участию в аукционе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</w:t>
      </w:r>
      <w:r w:rsidR="00AC5AFD">
        <w:rPr>
          <w:color w:val="333333"/>
        </w:rPr>
        <w:t>27.08.</w:t>
      </w:r>
      <w:r w:rsidRPr="0087350D">
        <w:rPr>
          <w:color w:val="333333"/>
        </w:rPr>
        <w:t xml:space="preserve">2012  № 860, </w:t>
      </w:r>
      <w:r w:rsidRPr="0087350D">
        <w:rPr>
          <w:color w:val="333333"/>
        </w:rPr>
        <w:lastRenderedPageBreak/>
        <w:t xml:space="preserve">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 </w:t>
      </w:r>
      <w:proofErr w:type="gramStart"/>
      <w:r w:rsidRPr="0087350D">
        <w:rPr>
          <w:color w:val="333333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образцов документов, предусмотренных Федеральным законом </w:t>
      </w:r>
      <w:r w:rsidR="00AC4C64" w:rsidRPr="0087350D">
        <w:rPr>
          <w:color w:val="333333"/>
        </w:rPr>
        <w:t>от 21.12.2001 № 178-ФЗ «О приватизации государственного и муниципального имущества»</w:t>
      </w:r>
      <w:r w:rsidRPr="0087350D">
        <w:rPr>
          <w:color w:val="333333"/>
        </w:rPr>
        <w:t>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C6991" w:rsidRPr="0087350D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0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>» торговой секции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>
        <w:rPr>
          <w:bCs/>
          <w:color w:val="000000"/>
        </w:rPr>
        <w:t xml:space="preserve"> </w:t>
      </w:r>
      <w:r w:rsidRPr="005F3333">
        <w:t>(образец заявки приведен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ТС, либо </w:t>
      </w:r>
      <w:proofErr w:type="gramStart"/>
      <w:r>
        <w:rPr>
          <w:bCs/>
          <w:color w:val="000000"/>
        </w:rPr>
        <w:t>представителем</w:t>
      </w:r>
      <w:proofErr w:type="gramEnd"/>
      <w:r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в заявке на участие представитель Претендента указывает информацию о Претенденте и прикладывает файл документа, подтверждающего его полномочия (доверенность);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 по реквизитам, указанным в информационном сообщении, осуществляется представителем Претендента до подачи заявки.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  <w:u w:val="single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электронной подписью.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1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A70EB7" w:rsidRPr="00A70EB7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A70EB7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</w:t>
      </w:r>
      <w:r w:rsidRPr="0087350D">
        <w:rPr>
          <w:rFonts w:eastAsia="Calibri"/>
          <w:bCs/>
        </w:rPr>
        <w:lastRenderedPageBreak/>
        <w:t>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A70EB7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A70EB7">
        <w:t>П</w:t>
      </w:r>
      <w:r w:rsidRPr="0087350D">
        <w:t xml:space="preserve">ретендента, оформленная в установленном </w:t>
      </w:r>
      <w:hyperlink r:id="rId12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A70EB7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</w:t>
      </w:r>
      <w:r w:rsidR="00A70EB7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Pr="0087350D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>Одно лицо имеет право подать только одну заявку на один объект приватизации.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A70EB7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3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заявка подана лицом, не уполномоченным претендентом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5A2682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</w:t>
      </w:r>
      <w:r w:rsidRPr="0087350D">
        <w:rPr>
          <w:rFonts w:eastAsia="Calibri"/>
          <w:b/>
        </w:rPr>
        <w:t xml:space="preserve"> </w:t>
      </w:r>
      <w:r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</w:p>
    <w:p w:rsidR="005A2682" w:rsidRPr="0087350D" w:rsidRDefault="00AC54E0" w:rsidP="005A2682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5A2682" w:rsidRPr="0087350D">
        <w:rPr>
          <w:rFonts w:eastAsia="Calibri"/>
        </w:rPr>
        <w:t xml:space="preserve">  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4" w:history="1">
        <w:r w:rsidR="005A2682" w:rsidRPr="00167185">
          <w:rPr>
            <w:rStyle w:val="a7"/>
            <w:rFonts w:eastAsia="Calibri"/>
          </w:rPr>
          <w:t>www.torgi.gov.ru</w:t>
        </w:r>
      </w:hyperlink>
      <w:r w:rsidR="005A2682">
        <w:rPr>
          <w:rFonts w:eastAsia="Calibri"/>
        </w:rPr>
        <w:t xml:space="preserve">, </w:t>
      </w:r>
      <w:r w:rsidR="005A2682" w:rsidRPr="00E123DD">
        <w:t>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="005A2682" w:rsidRPr="00E123DD">
        <w:t>рск Кр</w:t>
      </w:r>
      <w:proofErr w:type="gramEnd"/>
      <w:r w:rsidR="005A2682" w:rsidRPr="00E123DD">
        <w:t xml:space="preserve">асноярского края» в информационно-телекоммуникационной сети «Интернет»: </w:t>
      </w:r>
      <w:r w:rsidR="005A2682" w:rsidRPr="001E246D">
        <w:t>http://ww</w:t>
      </w:r>
      <w:r w:rsidR="005A2682">
        <w:t>w.admk26</w:t>
      </w:r>
      <w:r w:rsidR="005A2682" w:rsidRPr="0087350D">
        <w:rPr>
          <w:rFonts w:eastAsia="Calibri"/>
        </w:rPr>
        <w:t>.</w:t>
      </w:r>
    </w:p>
    <w:p w:rsidR="00AC54E0" w:rsidRPr="0087350D" w:rsidRDefault="00AC54E0" w:rsidP="005A2682">
      <w:pPr>
        <w:tabs>
          <w:tab w:val="left" w:pos="567"/>
        </w:tabs>
        <w:jc w:val="both"/>
        <w:outlineLvl w:val="0"/>
        <w:rPr>
          <w:rFonts w:eastAsia="Calibri"/>
        </w:rPr>
      </w:pPr>
    </w:p>
    <w:p w:rsidR="00AC54E0" w:rsidRPr="00C56CBE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</w:r>
      <w:r w:rsidRPr="00C56CBE">
        <w:rPr>
          <w:rFonts w:eastAsia="Calibri"/>
        </w:rPr>
        <w:t xml:space="preserve">  </w:t>
      </w:r>
      <w:r w:rsidRPr="00C56CBE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C56CB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C56CBE">
        <w:rPr>
          <w:rFonts w:eastAsia="Calibri"/>
        </w:rPr>
        <w:t xml:space="preserve">Для участия в аукционе </w:t>
      </w:r>
      <w:r w:rsidR="00964812" w:rsidRPr="00C56CBE">
        <w:rPr>
          <w:rFonts w:eastAsia="Calibri"/>
        </w:rPr>
        <w:t>П</w:t>
      </w:r>
      <w:r w:rsidRPr="00C56CBE">
        <w:rPr>
          <w:rFonts w:eastAsia="Calibri"/>
        </w:rPr>
        <w:t>ретендент вносит задаток в размере 20 процентов начальной цены, указанной в информационном сообщении о продаже муниципального имущества.</w:t>
      </w:r>
    </w:p>
    <w:p w:rsidR="00AC54E0" w:rsidRPr="00C56CB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C56CBE">
        <w:rPr>
          <w:rFonts w:eastAsia="Calibri"/>
        </w:rPr>
        <w:t>Размер задатка</w:t>
      </w:r>
      <w:r w:rsidR="0032357E" w:rsidRPr="00C56CBE">
        <w:rPr>
          <w:rFonts w:eastAsia="Calibri"/>
        </w:rPr>
        <w:t xml:space="preserve"> </w:t>
      </w:r>
      <w:r w:rsidR="005033AE" w:rsidRPr="00C56CBE">
        <w:rPr>
          <w:b/>
        </w:rPr>
        <w:t>29 760</w:t>
      </w:r>
      <w:r w:rsidR="00E66BC2" w:rsidRPr="00C56CBE">
        <w:rPr>
          <w:rFonts w:eastAsia="Calibri"/>
          <w:b/>
        </w:rPr>
        <w:t xml:space="preserve"> </w:t>
      </w:r>
      <w:r w:rsidR="0032357E" w:rsidRPr="00C56CBE">
        <w:rPr>
          <w:rFonts w:eastAsia="Calibri"/>
          <w:b/>
        </w:rPr>
        <w:t>(</w:t>
      </w:r>
      <w:r w:rsidR="005033AE" w:rsidRPr="00C56CBE">
        <w:rPr>
          <w:rFonts w:eastAsia="Calibri"/>
          <w:b/>
        </w:rPr>
        <w:t>двадцать девять</w:t>
      </w:r>
      <w:r w:rsidR="0032357E" w:rsidRPr="00C56CBE">
        <w:rPr>
          <w:rFonts w:eastAsia="Calibri"/>
          <w:b/>
        </w:rPr>
        <w:t xml:space="preserve"> тысяч </w:t>
      </w:r>
      <w:r w:rsidR="00E66BC2" w:rsidRPr="00C56CBE">
        <w:rPr>
          <w:rFonts w:eastAsia="Calibri"/>
          <w:b/>
        </w:rPr>
        <w:t xml:space="preserve">семьсот </w:t>
      </w:r>
      <w:r w:rsidR="005033AE" w:rsidRPr="00C56CBE">
        <w:rPr>
          <w:rFonts w:eastAsia="Calibri"/>
          <w:b/>
        </w:rPr>
        <w:t>шест</w:t>
      </w:r>
      <w:r w:rsidR="004A7172" w:rsidRPr="00C56CBE">
        <w:rPr>
          <w:rFonts w:eastAsia="Calibri"/>
          <w:b/>
        </w:rPr>
        <w:t>ьдесят</w:t>
      </w:r>
      <w:r w:rsidR="0032357E" w:rsidRPr="00C56CBE">
        <w:rPr>
          <w:rFonts w:eastAsia="Calibri"/>
          <w:b/>
        </w:rPr>
        <w:t xml:space="preserve">) рублей </w:t>
      </w:r>
      <w:r w:rsidR="004A7172" w:rsidRPr="00C56CBE">
        <w:rPr>
          <w:rFonts w:eastAsia="Calibri"/>
          <w:b/>
        </w:rPr>
        <w:t>00</w:t>
      </w:r>
      <w:r w:rsidR="0032357E" w:rsidRPr="00C56CBE">
        <w:rPr>
          <w:rFonts w:eastAsia="Calibri"/>
          <w:b/>
        </w:rPr>
        <w:t xml:space="preserve"> коп.</w:t>
      </w:r>
    </w:p>
    <w:p w:rsidR="00AC54E0" w:rsidRPr="00C56CB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C56CBE">
        <w:rPr>
          <w:rFonts w:eastAsia="Calibri"/>
        </w:rPr>
        <w:t xml:space="preserve">Срок внесения задатка, то есть поступления суммы задатка на счет Оператора электронной площадки: </w:t>
      </w:r>
      <w:r w:rsidRPr="00C56CBE">
        <w:rPr>
          <w:rFonts w:eastAsia="Calibri"/>
          <w:b/>
        </w:rPr>
        <w:t>не позднее «</w:t>
      </w:r>
      <w:r w:rsidR="0039754C" w:rsidRPr="00C56CBE">
        <w:rPr>
          <w:rFonts w:eastAsia="Calibri"/>
          <w:b/>
        </w:rPr>
        <w:t>0</w:t>
      </w:r>
      <w:r w:rsidR="00C56CBE" w:rsidRPr="00C56CBE">
        <w:rPr>
          <w:rFonts w:eastAsia="Calibri"/>
          <w:b/>
        </w:rPr>
        <w:t>3</w:t>
      </w:r>
      <w:r w:rsidRPr="00C56CBE">
        <w:rPr>
          <w:rFonts w:eastAsia="Calibri"/>
          <w:b/>
        </w:rPr>
        <w:t xml:space="preserve">» </w:t>
      </w:r>
      <w:r w:rsidR="0039754C" w:rsidRPr="00C56CBE">
        <w:rPr>
          <w:rFonts w:eastAsia="Calibri"/>
          <w:b/>
        </w:rPr>
        <w:t>июл</w:t>
      </w:r>
      <w:r w:rsidR="00266EFC" w:rsidRPr="00C56CBE">
        <w:rPr>
          <w:rFonts w:eastAsia="Calibri"/>
          <w:b/>
        </w:rPr>
        <w:t>я</w:t>
      </w:r>
      <w:r w:rsidRPr="00C56CBE">
        <w:rPr>
          <w:rFonts w:eastAsia="Calibri"/>
          <w:b/>
        </w:rPr>
        <w:t xml:space="preserve"> 20</w:t>
      </w:r>
      <w:r w:rsidR="0052373D" w:rsidRPr="00C56CBE">
        <w:rPr>
          <w:rFonts w:eastAsia="Calibri"/>
          <w:b/>
        </w:rPr>
        <w:t>20</w:t>
      </w:r>
      <w:r w:rsidRPr="00C56CBE">
        <w:rPr>
          <w:rFonts w:eastAsia="Calibri"/>
          <w:b/>
        </w:rPr>
        <w:t xml:space="preserve"> года.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Задаток для участия в аукционе служит обеспечением исполнения обязательства </w:t>
      </w:r>
      <w:r w:rsidR="00964812">
        <w:rPr>
          <w:rFonts w:eastAsia="Calibri"/>
          <w:bCs/>
        </w:rPr>
        <w:t>П</w:t>
      </w:r>
      <w:r w:rsidRPr="0087350D">
        <w:rPr>
          <w:rFonts w:eastAsia="Calibri"/>
          <w:bCs/>
        </w:rPr>
        <w:t>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ЗАО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«Задаток за участие в аукционе в электронной форме </w:t>
      </w:r>
      <w:r w:rsidR="004A7172">
        <w:t xml:space="preserve">по продаже </w:t>
      </w:r>
      <w:r w:rsidR="00E66BC2">
        <w:t>помещен</w:t>
      </w:r>
      <w:r w:rsidR="004A7172">
        <w:t xml:space="preserve">ия </w:t>
      </w:r>
      <w:r w:rsidR="00E66BC2">
        <w:t xml:space="preserve">№ </w:t>
      </w:r>
      <w:r w:rsidR="00786CB7">
        <w:t>15/</w:t>
      </w:r>
      <w:r w:rsidR="00E66BC2">
        <w:t xml:space="preserve">1 </w:t>
      </w:r>
      <w:r w:rsidR="004A7172">
        <w:t xml:space="preserve">ул. </w:t>
      </w:r>
      <w:r w:rsidR="00786CB7">
        <w:t>Советской Армии</w:t>
      </w:r>
      <w:r w:rsidR="004A7172">
        <w:t xml:space="preserve">, д. </w:t>
      </w:r>
      <w:r w:rsidR="00E66BC2">
        <w:t>3</w:t>
      </w:r>
      <w:r w:rsidR="00786CB7">
        <w:t>0</w:t>
      </w:r>
      <w:r w:rsidRPr="0032357E">
        <w:rPr>
          <w:rFonts w:eastAsia="Calibri"/>
        </w:rPr>
        <w:t>» с учетом НДС.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5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>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6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lastRenderedPageBreak/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а) </w:t>
      </w:r>
      <w:r w:rsidR="00964812">
        <w:rPr>
          <w:rFonts w:eastAsia="Calibri"/>
        </w:rPr>
        <w:t>У</w:t>
      </w:r>
      <w:r w:rsidRPr="0087350D">
        <w:rPr>
          <w:rFonts w:eastAsia="Calibri"/>
        </w:rPr>
        <w:t>частникам аукциона, за исключением его победителя, - в течение 5 календарных дней со дня подведения итогов аукциона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964812">
        <w:rPr>
          <w:rFonts w:eastAsia="Calibri"/>
        </w:rPr>
        <w:t>П</w:t>
      </w:r>
      <w:r w:rsidRPr="0087350D">
        <w:rPr>
          <w:rFonts w:eastAsia="Calibri"/>
        </w:rPr>
        <w:t>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в) в случае отзыва </w:t>
      </w:r>
      <w:r w:rsidR="00964812">
        <w:rPr>
          <w:rFonts w:eastAsia="Calibri"/>
        </w:rPr>
        <w:t>П</w:t>
      </w:r>
      <w:r w:rsidRPr="0087350D">
        <w:rPr>
          <w:rFonts w:eastAsia="Calibri"/>
        </w:rPr>
        <w:t xml:space="preserve">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87350D">
        <w:rPr>
          <w:rFonts w:eastAsia="Calibri"/>
        </w:rPr>
        <w:t>позднее</w:t>
      </w:r>
      <w:proofErr w:type="gramEnd"/>
      <w:r w:rsidRPr="0087350D">
        <w:rPr>
          <w:rFonts w:eastAsia="Calibri"/>
        </w:rPr>
        <w:t xml:space="preserve"> чем 5 дней со дня поступления уведомления об отзыве заявки. В </w:t>
      </w:r>
      <w:proofErr w:type="gramStart"/>
      <w:r w:rsidRPr="0087350D">
        <w:rPr>
          <w:rFonts w:eastAsia="Calibri"/>
        </w:rPr>
        <w:t>случае</w:t>
      </w:r>
      <w:proofErr w:type="gramEnd"/>
      <w:r w:rsidRPr="0087350D">
        <w:rPr>
          <w:rFonts w:eastAsia="Calibri"/>
        </w:rPr>
        <w:t xml:space="preserve"> отзыва </w:t>
      </w:r>
      <w:r w:rsidR="00964812">
        <w:rPr>
          <w:rFonts w:eastAsia="Calibri"/>
        </w:rPr>
        <w:t>П</w:t>
      </w:r>
      <w:r w:rsidRPr="0087350D">
        <w:rPr>
          <w:rFonts w:eastAsia="Calibri"/>
        </w:rPr>
        <w:t xml:space="preserve">ретендентом заявки позднее даты окончания приема заявок задаток возвращается в порядке, установленном для </w:t>
      </w:r>
      <w:r w:rsidR="00964812">
        <w:rPr>
          <w:rFonts w:eastAsia="Calibri"/>
        </w:rPr>
        <w:t>У</w:t>
      </w:r>
      <w:r w:rsidRPr="0087350D">
        <w:rPr>
          <w:rFonts w:eastAsia="Calibri"/>
        </w:rPr>
        <w:t>частников аукциона.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Задаток, перечисленный победителем аукциона,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AC54E0" w:rsidRPr="00E123DD" w:rsidRDefault="00AC54E0" w:rsidP="00641C42">
      <w:pPr>
        <w:widowControl w:val="0"/>
        <w:ind w:firstLine="709"/>
        <w:jc w:val="both"/>
      </w:pPr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образец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="00E123DD" w:rsidRPr="00E123DD">
        <w:t>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hyperlink r:id="rId18" w:history="1">
        <w:r w:rsidR="00350B5A" w:rsidRPr="000A090D">
          <w:rPr>
            <w:rStyle w:val="a7"/>
          </w:rPr>
          <w:t>http://www.admk26.ru/sfery/kumi/2020/май</w:t>
        </w:r>
      </w:hyperlink>
      <w:proofErr w:type="gramStart"/>
      <w:r w:rsidR="00641C42" w:rsidRPr="00E123DD">
        <w:t xml:space="preserve"> </w:t>
      </w:r>
      <w:r w:rsidRPr="00E123DD">
        <w:t>,</w:t>
      </w:r>
      <w:proofErr w:type="gramEnd"/>
      <w:r w:rsidRPr="00E123DD">
        <w:t xml:space="preserve">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Pr="00E123DD">
        <w:t xml:space="preserve">на сайте </w:t>
      </w:r>
      <w:hyperlink r:id="rId19" w:history="1">
        <w:r w:rsidRPr="00E123DD">
          <w:rPr>
            <w:color w:val="00009C"/>
          </w:rPr>
          <w:t>http://utp.sberbank-ast.ru</w:t>
        </w:r>
      </w:hyperlink>
      <w:r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 xml:space="preserve">Проведение осмотра объекта осуществляется каждую рабочую </w:t>
      </w:r>
      <w:r w:rsidR="00786CB7">
        <w:rPr>
          <w:sz w:val="24"/>
          <w:szCs w:val="24"/>
        </w:rPr>
        <w:t>сред</w:t>
      </w:r>
      <w:r w:rsidR="00E66BC2" w:rsidRPr="00E66BC2">
        <w:rPr>
          <w:sz w:val="24"/>
          <w:szCs w:val="24"/>
        </w:rPr>
        <w:t xml:space="preserve">у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E66BC2" w:rsidRPr="00E66BC2">
        <w:rPr>
          <w:sz w:val="24"/>
          <w:szCs w:val="24"/>
        </w:rPr>
        <w:t>по</w:t>
      </w:r>
      <w:proofErr w:type="gramEnd"/>
      <w:r w:rsidR="00E66BC2" w:rsidRPr="00E66BC2">
        <w:rPr>
          <w:sz w:val="24"/>
          <w:szCs w:val="24"/>
        </w:rPr>
        <w:t xml:space="preserve"> тел.</w:t>
      </w:r>
      <w:r w:rsidR="00E66BC2">
        <w:rPr>
          <w:sz w:val="24"/>
          <w:szCs w:val="24"/>
        </w:rPr>
        <w:t xml:space="preserve">8 (3919) </w:t>
      </w:r>
      <w:r w:rsidR="00E66BC2" w:rsidRPr="00E66BC2">
        <w:rPr>
          <w:sz w:val="24"/>
          <w:szCs w:val="24"/>
        </w:rPr>
        <w:t>76-56-35,76-56-43.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336,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t>Аукцион</w:t>
      </w:r>
      <w:r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извещении о проведении торгов на электронной площадке –  универсальная торговая платформа ЗАО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», размещенная</w:t>
      </w:r>
      <w:r w:rsidRPr="0087350D">
        <w:t xml:space="preserve"> на сайте http://utp.sberbank-ast.ru в сети Интернет.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в случае наличия двух или более допущенных </w:t>
      </w:r>
      <w:r w:rsidR="00964812">
        <w:rPr>
          <w:color w:val="000000"/>
        </w:rPr>
        <w:t>У</w:t>
      </w:r>
      <w:r w:rsidRPr="0087350D">
        <w:rPr>
          <w:color w:val="000000"/>
        </w:rPr>
        <w:t xml:space="preserve">частников. В установленные </w:t>
      </w:r>
      <w:r w:rsidRPr="0087350D">
        <w:rPr>
          <w:color w:val="000000"/>
        </w:rPr>
        <w:lastRenderedPageBreak/>
        <w:t xml:space="preserve">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</w:t>
      </w:r>
      <w:r w:rsidR="00964812">
        <w:rPr>
          <w:color w:val="000000"/>
        </w:rPr>
        <w:t>У</w:t>
      </w:r>
      <w:r w:rsidRPr="0087350D">
        <w:rPr>
          <w:color w:val="000000"/>
        </w:rPr>
        <w:t>частника посредством штатного интерфейса.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AC54E0" w:rsidRPr="0087350D" w:rsidRDefault="00AC54E0" w:rsidP="00AC54E0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 xml:space="preserve">и составляет </w:t>
      </w:r>
      <w:r w:rsidR="00786CB7">
        <w:rPr>
          <w:b/>
        </w:rPr>
        <w:t>7 4</w:t>
      </w:r>
      <w:r w:rsidR="009F1435" w:rsidRPr="009F1435">
        <w:rPr>
          <w:rFonts w:eastAsia="Calibri"/>
          <w:b/>
        </w:rPr>
        <w:t>00 (</w:t>
      </w:r>
      <w:r w:rsidR="00786CB7">
        <w:rPr>
          <w:rFonts w:eastAsia="Calibri"/>
          <w:b/>
        </w:rPr>
        <w:t>с</w:t>
      </w:r>
      <w:r w:rsidR="00C74B7E">
        <w:rPr>
          <w:rFonts w:eastAsia="Calibri"/>
          <w:b/>
        </w:rPr>
        <w:t>емь</w:t>
      </w:r>
      <w:r w:rsidR="009F1435" w:rsidRPr="009F1435">
        <w:rPr>
          <w:rFonts w:eastAsia="Calibri"/>
          <w:b/>
        </w:rPr>
        <w:t xml:space="preserve"> тысяч</w:t>
      </w:r>
      <w:r w:rsidR="00786CB7">
        <w:rPr>
          <w:rFonts w:eastAsia="Calibri"/>
          <w:b/>
        </w:rPr>
        <w:t xml:space="preserve"> четыреста</w:t>
      </w:r>
      <w:r w:rsidR="009F1435" w:rsidRPr="009F1435">
        <w:rPr>
          <w:rFonts w:eastAsia="Calibri"/>
          <w:b/>
        </w:rPr>
        <w:t>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Во время проведения процедуры аукциона Оператор электронной площадки обеспечивает доступ </w:t>
      </w:r>
      <w:r w:rsidR="00964812">
        <w:rPr>
          <w:rFonts w:eastAsia="Calibri"/>
        </w:rPr>
        <w:t>У</w:t>
      </w:r>
      <w:r w:rsidRPr="0087350D">
        <w:rPr>
          <w:rFonts w:eastAsia="Calibri"/>
        </w:rPr>
        <w:t>частников к закрытой части электронной площадки и возможность представления ими предложений о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 w:rsidR="00350B5A">
        <w:rPr>
          <w:rFonts w:eastAsia="Calibri"/>
        </w:rPr>
        <w:t xml:space="preserve">ЭП </w:t>
      </w:r>
      <w:r w:rsidRPr="0087350D">
        <w:rPr>
          <w:rFonts w:eastAsia="Calibri"/>
        </w:rPr>
        <w:t xml:space="preserve"> Участника предложение </w:t>
      </w:r>
      <w:r w:rsidR="00350B5A"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Со времени начала проведения процедуры аукциона Оператором электронной площадки размещается: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шага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>), время, оставшееся до окончания приема предложений о цене имущества.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проведения процедуры аукциона </w:t>
      </w:r>
      <w:r w:rsidR="00350B5A">
        <w:rPr>
          <w:rFonts w:eastAsia="Calibri"/>
        </w:rPr>
        <w:t>У</w:t>
      </w:r>
      <w:r w:rsidRPr="0087350D">
        <w:rPr>
          <w:rFonts w:eastAsia="Calibri"/>
        </w:rPr>
        <w:t xml:space="preserve">частникам предлагается заявить о приобретении имущества по начальной цене. В </w:t>
      </w:r>
      <w:proofErr w:type="gramStart"/>
      <w:r w:rsidRPr="0087350D">
        <w:rPr>
          <w:rFonts w:eastAsia="Calibri"/>
        </w:rPr>
        <w:t>случае</w:t>
      </w:r>
      <w:proofErr w:type="gramEnd"/>
      <w:r w:rsidR="009F1435"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поступило предложение о начальной цене имущества, то время для представления следующих предложений об увеличенной на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 w:rsidR="009F1435">
        <w:rPr>
          <w:rFonts w:eastAsia="Calibri"/>
        </w:rPr>
        <w:t>»</w:t>
      </w:r>
      <w:r w:rsidRPr="0087350D">
        <w:rPr>
          <w:rFonts w:eastAsia="Calibri"/>
        </w:rPr>
        <w:t xml:space="preserve"> цене имущества продлевается на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</w:t>
      </w:r>
      <w:proofErr w:type="gramStart"/>
      <w:r w:rsidRPr="0087350D">
        <w:rPr>
          <w:rFonts w:eastAsia="Calibri"/>
        </w:rPr>
        <w:t>этом</w:t>
      </w:r>
      <w:proofErr w:type="gramEnd"/>
      <w:r w:rsidRPr="0087350D">
        <w:rPr>
          <w:rFonts w:eastAsia="Calibri"/>
        </w:rPr>
        <w:t xml:space="preserve"> случае временем окончания представления предложений о цене имущества является время завершения аукциона.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 если: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меньше ранее представленных предложений;</w:t>
      </w:r>
    </w:p>
    <w:p w:rsidR="00AC54E0" w:rsidRPr="0087350D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AC54E0" w:rsidRPr="0087350D" w:rsidRDefault="00AC54E0" w:rsidP="00AC54E0">
      <w:pPr>
        <w:ind w:firstLine="709"/>
        <w:jc w:val="both"/>
      </w:pPr>
      <w:r w:rsidRPr="0087350D">
        <w:t xml:space="preserve">Победителем аукциона признается </w:t>
      </w:r>
      <w:r w:rsidR="00350B5A">
        <w:t>У</w:t>
      </w:r>
      <w:r w:rsidRPr="0087350D">
        <w:t>частник, предложивший наибольшую цену имущества.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 xml:space="preserve"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</w:t>
      </w:r>
      <w:r w:rsidR="00964812" w:rsidRPr="0087350D">
        <w:rPr>
          <w:bCs/>
        </w:rPr>
        <w:t>П</w:t>
      </w:r>
      <w:r w:rsidRPr="0087350D">
        <w:rPr>
          <w:bCs/>
        </w:rPr>
        <w:t>родавцом в течение одного часа со времени получения электронного журнала.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AC54E0" w:rsidRPr="0087350D" w:rsidRDefault="00AC54E0" w:rsidP="00AC54E0">
      <w:pPr>
        <w:ind w:firstLine="709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принято решение о признании только одного Претендента </w:t>
      </w:r>
      <w:r w:rsidR="0013438C" w:rsidRPr="0087350D">
        <w:rPr>
          <w:rFonts w:eastAsia="Calibri"/>
        </w:rPr>
        <w:t>У</w:t>
      </w:r>
      <w:r w:rsidRPr="0087350D">
        <w:rPr>
          <w:rFonts w:eastAsia="Calibri"/>
        </w:rPr>
        <w:t>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350B5A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 xml:space="preserve">Договор купли-продажи имущества (образец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>к настоящему информационному сообщению)</w:t>
      </w:r>
      <w:r w:rsidR="001138B9" w:rsidRPr="0087350D">
        <w:rPr>
          <w:bCs/>
        </w:rPr>
        <w:t xml:space="preserve"> </w:t>
      </w:r>
      <w:r w:rsidRPr="0087350D">
        <w:t xml:space="preserve">заключается между Продавцом и </w:t>
      </w:r>
      <w:r w:rsidR="0013438C" w:rsidRPr="0087350D">
        <w:t>П</w:t>
      </w:r>
      <w:r w:rsidRPr="0087350D">
        <w:t xml:space="preserve">обедителем </w:t>
      </w:r>
      <w:r w:rsidR="007B4A3B">
        <w:t>в течение</w:t>
      </w:r>
      <w:r w:rsidRPr="0087350D">
        <w:t xml:space="preserve"> 5 рабочих дней со дня подведения итогов аукциона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350B5A"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</w:t>
      </w:r>
      <w:r>
        <w:rPr>
          <w:sz w:val="24"/>
          <w:szCs w:val="24"/>
        </w:rPr>
        <w:t>п</w:t>
      </w:r>
      <w:r w:rsidRPr="00C749E9">
        <w:rPr>
          <w:sz w:val="24"/>
          <w:szCs w:val="24"/>
        </w:rPr>
        <w:t xml:space="preserve">окупателем стоимости объекта, определенной по итогам аукциона, без учета НДС за вычетом внесенного  им задатка для участия в аукционе, а также возмещение расходов продавца по приватизации в сумме </w:t>
      </w:r>
      <w:r w:rsidR="00786CB7">
        <w:rPr>
          <w:sz w:val="24"/>
          <w:szCs w:val="24"/>
        </w:rPr>
        <w:t>3 000</w:t>
      </w:r>
      <w:r w:rsidRPr="00C749E9">
        <w:rPr>
          <w:sz w:val="24"/>
          <w:szCs w:val="24"/>
        </w:rPr>
        <w:t xml:space="preserve"> (</w:t>
      </w:r>
      <w:r w:rsidR="00786CB7">
        <w:rPr>
          <w:sz w:val="24"/>
          <w:szCs w:val="24"/>
        </w:rPr>
        <w:t>три</w:t>
      </w:r>
      <w:r w:rsidRPr="00C749E9">
        <w:rPr>
          <w:sz w:val="24"/>
          <w:szCs w:val="24"/>
        </w:rPr>
        <w:t xml:space="preserve"> тысяч</w:t>
      </w:r>
      <w:r w:rsidR="00786CB7">
        <w:rPr>
          <w:sz w:val="24"/>
          <w:szCs w:val="24"/>
        </w:rPr>
        <w:t>и</w:t>
      </w:r>
      <w:r w:rsidRPr="00C749E9">
        <w:rPr>
          <w:sz w:val="24"/>
          <w:szCs w:val="24"/>
        </w:rPr>
        <w:t xml:space="preserve">) рублей </w:t>
      </w:r>
      <w:r w:rsidR="00786CB7">
        <w:rPr>
          <w:sz w:val="24"/>
          <w:szCs w:val="24"/>
        </w:rPr>
        <w:t>00</w:t>
      </w:r>
      <w:r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в бюджет ЗАТО г</w:t>
      </w:r>
      <w:proofErr w:type="gramStart"/>
      <w:r w:rsidRPr="00C749E9">
        <w:rPr>
          <w:color w:val="000000"/>
          <w:sz w:val="24"/>
          <w:szCs w:val="24"/>
        </w:rPr>
        <w:t>.Ж</w:t>
      </w:r>
      <w:proofErr w:type="gramEnd"/>
      <w:r w:rsidRPr="00C749E9">
        <w:rPr>
          <w:color w:val="000000"/>
          <w:sz w:val="24"/>
          <w:szCs w:val="24"/>
        </w:rPr>
        <w:t xml:space="preserve">елезногорск по следующим банковским реквизитам: </w:t>
      </w:r>
      <w:proofErr w:type="spellStart"/>
      <w:r w:rsidRPr="00C749E9">
        <w:rPr>
          <w:sz w:val="24"/>
          <w:szCs w:val="24"/>
        </w:rPr>
        <w:t>р</w:t>
      </w:r>
      <w:proofErr w:type="spell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Отделение Красноярск г</w:t>
      </w:r>
      <w:proofErr w:type="gramStart"/>
      <w:r w:rsidRPr="00C749E9">
        <w:rPr>
          <w:sz w:val="24"/>
          <w:szCs w:val="24"/>
        </w:rPr>
        <w:t>.К</w:t>
      </w:r>
      <w:proofErr w:type="gramEnd"/>
      <w:r w:rsidRPr="00C749E9">
        <w:rPr>
          <w:sz w:val="24"/>
          <w:szCs w:val="24"/>
        </w:rPr>
        <w:t xml:space="preserve">расноярск (наименование банка получателя), БИК (банка получателя) 040407001, получатель: УФК по Красноярскому краю (КУМИ </w:t>
      </w:r>
      <w:proofErr w:type="gramStart"/>
      <w:r w:rsidRPr="00C749E9">
        <w:rPr>
          <w:sz w:val="24"/>
          <w:szCs w:val="24"/>
        </w:rPr>
        <w:t>Администрация</w:t>
      </w:r>
      <w:proofErr w:type="gramEnd"/>
      <w:r w:rsidRPr="00C749E9">
        <w:rPr>
          <w:sz w:val="24"/>
          <w:szCs w:val="24"/>
        </w:rPr>
        <w:t xml:space="preserve"> ЗАТО  г. Железногорск), ИНН получателя 2452007870, КПП получателя 245201001. Код бюджетной классификации  (КБК) – 162114</w:t>
      </w:r>
      <w:r>
        <w:rPr>
          <w:sz w:val="24"/>
          <w:szCs w:val="24"/>
        </w:rPr>
        <w:t>13</w:t>
      </w:r>
      <w:r w:rsidRPr="00C749E9">
        <w:rPr>
          <w:sz w:val="24"/>
          <w:szCs w:val="24"/>
        </w:rPr>
        <w:t>04</w:t>
      </w:r>
      <w:r>
        <w:rPr>
          <w:sz w:val="24"/>
          <w:szCs w:val="24"/>
        </w:rPr>
        <w:t>0</w:t>
      </w:r>
      <w:r w:rsidRPr="00C749E9">
        <w:rPr>
          <w:sz w:val="24"/>
          <w:szCs w:val="24"/>
        </w:rPr>
        <w:t>040000410</w:t>
      </w:r>
      <w:r>
        <w:rPr>
          <w:sz w:val="24"/>
          <w:szCs w:val="24"/>
        </w:rPr>
        <w:t xml:space="preserve"> (доходы от приватизации имущества, находящегося в собственности городских округов, в части </w:t>
      </w:r>
      <w:r>
        <w:rPr>
          <w:sz w:val="24"/>
          <w:szCs w:val="24"/>
        </w:rPr>
        <w:lastRenderedPageBreak/>
        <w:t>приватизации нефинансовых активов имущества казны)</w:t>
      </w:r>
      <w:r w:rsidRPr="00C749E9">
        <w:rPr>
          <w:sz w:val="24"/>
          <w:szCs w:val="24"/>
        </w:rPr>
        <w:t>, ОКТМО 04735000, основание – договор купли-продажи муниципального имущества от ___.___.20</w:t>
      </w:r>
      <w:r w:rsidR="0052373D">
        <w:rPr>
          <w:sz w:val="24"/>
          <w:szCs w:val="24"/>
        </w:rPr>
        <w:t>20</w:t>
      </w:r>
      <w:r w:rsidRPr="00C749E9">
        <w:rPr>
          <w:sz w:val="24"/>
          <w:szCs w:val="24"/>
        </w:rPr>
        <w:t xml:space="preserve"> № ____;</w:t>
      </w:r>
    </w:p>
    <w:p w:rsidR="00EE126F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proofErr w:type="gramStart"/>
      <w:r w:rsidRPr="00C749E9">
        <w:rPr>
          <w:sz w:val="24"/>
          <w:szCs w:val="24"/>
        </w:rPr>
        <w:t>р</w:t>
      </w:r>
      <w:proofErr w:type="spellEnd"/>
      <w:proofErr w:type="gram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в Отделение Красноярск г. Красноярск, БИК банка получателя 040407001, получатель: УФК по Красноярскому краю (</w:t>
      </w:r>
      <w:proofErr w:type="gramStart"/>
      <w:r w:rsidRPr="00C749E9">
        <w:rPr>
          <w:sz w:val="24"/>
          <w:szCs w:val="24"/>
        </w:rPr>
        <w:t>Межрайонная</w:t>
      </w:r>
      <w:proofErr w:type="gramEnd"/>
      <w:r w:rsidRPr="00C749E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назначение платежа</w:t>
      </w:r>
      <w:r w:rsidR="00EE126F"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___.___.2020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20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350B5A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350B5A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350B5A">
        <w:rPr>
          <w:bCs/>
          <w:u w:val="single"/>
        </w:rPr>
        <w:t>.</w:t>
      </w:r>
    </w:p>
    <w:p w:rsidR="00AC54E0" w:rsidRPr="009F1435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350B5A"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AC54E0" w:rsidRDefault="004C5884" w:rsidP="00AC54E0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 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0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1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2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</w:t>
      </w:r>
      <w:r w:rsidRPr="003E2A9E">
        <w:lastRenderedPageBreak/>
        <w:t>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3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4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</w:t>
      </w:r>
      <w:r w:rsidR="00AC5AFD">
        <w:rPr>
          <w:b/>
          <w:szCs w:val="24"/>
        </w:rPr>
        <w:t xml:space="preserve"> </w:t>
      </w:r>
      <w:r w:rsidRPr="003E2A9E">
        <w:rPr>
          <w:b/>
          <w:szCs w:val="24"/>
        </w:rPr>
        <w:t xml:space="preserve">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5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86CB7" w:rsidRDefault="00786CB7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Исполняющий</w:t>
      </w:r>
      <w:proofErr w:type="gramEnd"/>
      <w:r>
        <w:t xml:space="preserve"> обязанности р</w:t>
      </w:r>
      <w:r w:rsidR="009D26FB">
        <w:t>уководител</w:t>
      </w:r>
      <w:r>
        <w:t>я</w:t>
      </w:r>
      <w:r w:rsidR="009D26FB">
        <w:t xml:space="preserve"> КУМИ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proofErr w:type="gramStart"/>
      <w:r>
        <w:t>Администрации</w:t>
      </w:r>
      <w:proofErr w:type="gramEnd"/>
      <w:r w:rsidR="00786CB7">
        <w:t xml:space="preserve"> </w:t>
      </w:r>
      <w:r>
        <w:t>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</w:t>
      </w:r>
      <w:r w:rsidR="00786CB7">
        <w:t>О</w:t>
      </w:r>
      <w:r>
        <w:t xml:space="preserve">.В. </w:t>
      </w:r>
      <w:r w:rsidR="00786CB7">
        <w:t>Захар</w:t>
      </w:r>
      <w:r>
        <w:t>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B1206E">
      <w:pgSz w:w="11906" w:h="16838"/>
      <w:pgMar w:top="680" w:right="624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1254D"/>
    <w:rsid w:val="0001336F"/>
    <w:rsid w:val="00033F8E"/>
    <w:rsid w:val="0005337A"/>
    <w:rsid w:val="00073962"/>
    <w:rsid w:val="00087668"/>
    <w:rsid w:val="00090BF3"/>
    <w:rsid w:val="000A53B9"/>
    <w:rsid w:val="000B30DB"/>
    <w:rsid w:val="000D61D5"/>
    <w:rsid w:val="000D77D1"/>
    <w:rsid w:val="000E5782"/>
    <w:rsid w:val="001138B9"/>
    <w:rsid w:val="0013438C"/>
    <w:rsid w:val="00147918"/>
    <w:rsid w:val="00194556"/>
    <w:rsid w:val="001A141A"/>
    <w:rsid w:val="001A4F82"/>
    <w:rsid w:val="001A7C31"/>
    <w:rsid w:val="001B00B5"/>
    <w:rsid w:val="001B71A1"/>
    <w:rsid w:val="001D04AB"/>
    <w:rsid w:val="001D3160"/>
    <w:rsid w:val="001F1A1C"/>
    <w:rsid w:val="00202F30"/>
    <w:rsid w:val="00210D8F"/>
    <w:rsid w:val="00227461"/>
    <w:rsid w:val="00231148"/>
    <w:rsid w:val="00251EF0"/>
    <w:rsid w:val="00252B29"/>
    <w:rsid w:val="00263ECA"/>
    <w:rsid w:val="00266EFC"/>
    <w:rsid w:val="00275D5E"/>
    <w:rsid w:val="002871CA"/>
    <w:rsid w:val="002D1EB9"/>
    <w:rsid w:val="00321D47"/>
    <w:rsid w:val="0032357E"/>
    <w:rsid w:val="003339DB"/>
    <w:rsid w:val="00350B5A"/>
    <w:rsid w:val="00351EE7"/>
    <w:rsid w:val="00366E11"/>
    <w:rsid w:val="00372BD3"/>
    <w:rsid w:val="003820BC"/>
    <w:rsid w:val="0039754C"/>
    <w:rsid w:val="003A1612"/>
    <w:rsid w:val="003B1C41"/>
    <w:rsid w:val="003C61C3"/>
    <w:rsid w:val="003D484E"/>
    <w:rsid w:val="003E180D"/>
    <w:rsid w:val="003E2A9E"/>
    <w:rsid w:val="003F446B"/>
    <w:rsid w:val="003F4ADF"/>
    <w:rsid w:val="0041796B"/>
    <w:rsid w:val="0042009C"/>
    <w:rsid w:val="00431EEE"/>
    <w:rsid w:val="0044671D"/>
    <w:rsid w:val="004519A4"/>
    <w:rsid w:val="00470A86"/>
    <w:rsid w:val="00484F14"/>
    <w:rsid w:val="00495168"/>
    <w:rsid w:val="004A7172"/>
    <w:rsid w:val="004C184E"/>
    <w:rsid w:val="004C5884"/>
    <w:rsid w:val="004F2EC6"/>
    <w:rsid w:val="004F572A"/>
    <w:rsid w:val="004F77CF"/>
    <w:rsid w:val="00501B02"/>
    <w:rsid w:val="005033AE"/>
    <w:rsid w:val="00504E91"/>
    <w:rsid w:val="00510C80"/>
    <w:rsid w:val="00522876"/>
    <w:rsid w:val="0052373D"/>
    <w:rsid w:val="00564391"/>
    <w:rsid w:val="00573662"/>
    <w:rsid w:val="005A2682"/>
    <w:rsid w:val="005A2913"/>
    <w:rsid w:val="005B5CD1"/>
    <w:rsid w:val="005C2631"/>
    <w:rsid w:val="005C6991"/>
    <w:rsid w:val="005F3333"/>
    <w:rsid w:val="006173C1"/>
    <w:rsid w:val="00641C42"/>
    <w:rsid w:val="006546CC"/>
    <w:rsid w:val="00657BD0"/>
    <w:rsid w:val="006911C4"/>
    <w:rsid w:val="00693BE8"/>
    <w:rsid w:val="00694A7B"/>
    <w:rsid w:val="006A2775"/>
    <w:rsid w:val="006A4990"/>
    <w:rsid w:val="006A6B38"/>
    <w:rsid w:val="006D6CBA"/>
    <w:rsid w:val="006E46BB"/>
    <w:rsid w:val="006F78B2"/>
    <w:rsid w:val="00700897"/>
    <w:rsid w:val="00715BAD"/>
    <w:rsid w:val="007307AE"/>
    <w:rsid w:val="00733C08"/>
    <w:rsid w:val="0073476F"/>
    <w:rsid w:val="007557BB"/>
    <w:rsid w:val="00786CB7"/>
    <w:rsid w:val="007B4A3B"/>
    <w:rsid w:val="007D085E"/>
    <w:rsid w:val="007D5BE1"/>
    <w:rsid w:val="007E4536"/>
    <w:rsid w:val="007F01B8"/>
    <w:rsid w:val="007F201D"/>
    <w:rsid w:val="0080658A"/>
    <w:rsid w:val="00850886"/>
    <w:rsid w:val="00851DE1"/>
    <w:rsid w:val="008659AB"/>
    <w:rsid w:val="0087350D"/>
    <w:rsid w:val="00885F85"/>
    <w:rsid w:val="00896F05"/>
    <w:rsid w:val="008D0F77"/>
    <w:rsid w:val="008E0CC4"/>
    <w:rsid w:val="008F0DA7"/>
    <w:rsid w:val="008F7759"/>
    <w:rsid w:val="00913F0E"/>
    <w:rsid w:val="009544EC"/>
    <w:rsid w:val="009639B1"/>
    <w:rsid w:val="00964812"/>
    <w:rsid w:val="00981D57"/>
    <w:rsid w:val="009851A9"/>
    <w:rsid w:val="009A3369"/>
    <w:rsid w:val="009C190E"/>
    <w:rsid w:val="009C310A"/>
    <w:rsid w:val="009D26FB"/>
    <w:rsid w:val="009F1435"/>
    <w:rsid w:val="00A52FF8"/>
    <w:rsid w:val="00A70EB7"/>
    <w:rsid w:val="00AC1DC4"/>
    <w:rsid w:val="00AC4C64"/>
    <w:rsid w:val="00AC54E0"/>
    <w:rsid w:val="00AC5AFD"/>
    <w:rsid w:val="00AD5870"/>
    <w:rsid w:val="00B1206E"/>
    <w:rsid w:val="00B22248"/>
    <w:rsid w:val="00B27F5D"/>
    <w:rsid w:val="00B32B92"/>
    <w:rsid w:val="00B32EE1"/>
    <w:rsid w:val="00B41907"/>
    <w:rsid w:val="00B5418B"/>
    <w:rsid w:val="00B61B07"/>
    <w:rsid w:val="00B751A5"/>
    <w:rsid w:val="00BA0443"/>
    <w:rsid w:val="00BB472B"/>
    <w:rsid w:val="00BE7EB6"/>
    <w:rsid w:val="00C013E9"/>
    <w:rsid w:val="00C03136"/>
    <w:rsid w:val="00C065CD"/>
    <w:rsid w:val="00C17E25"/>
    <w:rsid w:val="00C25314"/>
    <w:rsid w:val="00C432ED"/>
    <w:rsid w:val="00C46F62"/>
    <w:rsid w:val="00C56079"/>
    <w:rsid w:val="00C56CBE"/>
    <w:rsid w:val="00C636F0"/>
    <w:rsid w:val="00C64EE4"/>
    <w:rsid w:val="00C749E9"/>
    <w:rsid w:val="00C74B7E"/>
    <w:rsid w:val="00C823C7"/>
    <w:rsid w:val="00CA379F"/>
    <w:rsid w:val="00CC1957"/>
    <w:rsid w:val="00CC2C24"/>
    <w:rsid w:val="00CC73F7"/>
    <w:rsid w:val="00CD5A88"/>
    <w:rsid w:val="00CF3357"/>
    <w:rsid w:val="00D02073"/>
    <w:rsid w:val="00D20BF8"/>
    <w:rsid w:val="00D277F9"/>
    <w:rsid w:val="00D37700"/>
    <w:rsid w:val="00D45CBE"/>
    <w:rsid w:val="00D46903"/>
    <w:rsid w:val="00D5091A"/>
    <w:rsid w:val="00D51EB0"/>
    <w:rsid w:val="00D66D36"/>
    <w:rsid w:val="00D738A7"/>
    <w:rsid w:val="00D864D9"/>
    <w:rsid w:val="00DA371D"/>
    <w:rsid w:val="00DD0F24"/>
    <w:rsid w:val="00DE7754"/>
    <w:rsid w:val="00E123DD"/>
    <w:rsid w:val="00E15EB6"/>
    <w:rsid w:val="00E30A04"/>
    <w:rsid w:val="00E42751"/>
    <w:rsid w:val="00E46400"/>
    <w:rsid w:val="00E6206C"/>
    <w:rsid w:val="00E66BC2"/>
    <w:rsid w:val="00E93C0C"/>
    <w:rsid w:val="00E97409"/>
    <w:rsid w:val="00EE126F"/>
    <w:rsid w:val="00EE5CD6"/>
    <w:rsid w:val="00EF1190"/>
    <w:rsid w:val="00EF494C"/>
    <w:rsid w:val="00F51BCF"/>
    <w:rsid w:val="00F720C7"/>
    <w:rsid w:val="00F96597"/>
    <w:rsid w:val="00FD1EDD"/>
    <w:rsid w:val="00FD3788"/>
    <w:rsid w:val="00FE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BC767E132FABCA80E5D8E89BBA81F5C773224245EE3648859B1788C14793711A0B1681896E1FFD4DrCB3Q" TargetMode="External"/><Relationship Id="rId18" Type="http://schemas.openxmlformats.org/officeDocument/2006/relationships/hyperlink" Target="http://www.admk26.ru/sfery/kumi/2020/&#1084;&#1072;&#1081;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admk26.ru/sfery/%20bezopasnost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consultantplus://offline/ref=309FD773562D93D1254750BC451FFC67D547FE7DF009F6FFE2386DBBC9B6384AA3EA26C53D32677E796AC24C348E3BF25D0491n2hB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sberbank-ast.ru/CAList.aspx" TargetMode="External"/><Relationship Id="rId24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1027/Instructions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FBB59-74DA-4BCD-AF3B-07FB98723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10</Pages>
  <Words>5554</Words>
  <Characters>31663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37143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23</cp:revision>
  <cp:lastPrinted>2020-05-22T09:08:00Z</cp:lastPrinted>
  <dcterms:created xsi:type="dcterms:W3CDTF">2019-12-04T09:08:00Z</dcterms:created>
  <dcterms:modified xsi:type="dcterms:W3CDTF">2020-05-25T03:12:00Z</dcterms:modified>
</cp:coreProperties>
</file>