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895EC6">
        <w:rPr>
          <w:b/>
          <w:bCs/>
        </w:rPr>
        <w:t>161219/2896549/01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AC54E0" w:rsidRPr="0087350D" w:rsidTr="00657BD0">
        <w:trPr>
          <w:trHeight w:val="429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 xml:space="preserve">Красноярский край, ЗАТО Железногорск, </w:t>
      </w:r>
      <w:proofErr w:type="gramStart"/>
      <w:r w:rsidR="00D37700">
        <w:t>г</w:t>
      </w:r>
      <w:proofErr w:type="gramEnd"/>
      <w:r w:rsidR="00D37700">
        <w:t>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>г. Железногорск от 25.10.2018 № 38-186Р  «Об утверждении Прогнозного плана (программы) приватизации муниципального имущества ЗАТО Железногорск на 2019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D62A2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.12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.2019 № </w:t>
      </w:r>
      <w:r w:rsidR="007D62A2">
        <w:rPr>
          <w:rFonts w:ascii="Times New Roman" w:hAnsi="Times New Roman"/>
          <w:b w:val="0"/>
          <w:i w:val="0"/>
          <w:sz w:val="24"/>
          <w:szCs w:val="24"/>
        </w:rPr>
        <w:t>509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C7B15">
        <w:rPr>
          <w:rFonts w:ascii="Times New Roman" w:hAnsi="Times New Roman"/>
          <w:b w:val="0"/>
          <w:i w:val="0"/>
          <w:sz w:val="24"/>
          <w:szCs w:val="24"/>
        </w:rPr>
        <w:t>70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C7B15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2C7B15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lastRenderedPageBreak/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C7B15">
        <w:t>Свердлова</w:t>
      </w:r>
      <w:r w:rsidR="00700897">
        <w:t xml:space="preserve">, д. </w:t>
      </w:r>
      <w:r w:rsidR="002C7B15">
        <w:t>7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C7B15">
        <w:t>70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C7B15">
        <w:t>310,8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196</w:t>
      </w:r>
      <w:r w:rsidR="002C7B15">
        <w:t>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8E0CC4">
        <w:t>в</w:t>
      </w:r>
      <w:r w:rsidRPr="00D51EB0">
        <w:t xml:space="preserve"> подвал</w:t>
      </w:r>
      <w:r w:rsidR="008E0CC4">
        <w:t>е многоквартирного жилого дома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8E0CC4" w:rsidRDefault="00D51EB0" w:rsidP="008E0CC4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375CD6">
        <w:rPr>
          <w:sz w:val="24"/>
          <w:szCs w:val="24"/>
        </w:rPr>
        <w:t>Техническое состояние</w:t>
      </w:r>
      <w:r w:rsidR="00375CD6">
        <w:rPr>
          <w:sz w:val="24"/>
          <w:szCs w:val="24"/>
        </w:rPr>
        <w:t xml:space="preserve"> объекта</w:t>
      </w:r>
      <w:r w:rsidR="00375CD6" w:rsidRPr="00375CD6">
        <w:rPr>
          <w:sz w:val="24"/>
          <w:szCs w:val="24"/>
        </w:rPr>
        <w:t xml:space="preserve">, </w:t>
      </w:r>
      <w:proofErr w:type="gramStart"/>
      <w:r w:rsidR="00375CD6" w:rsidRPr="00375CD6">
        <w:rPr>
          <w:sz w:val="24"/>
          <w:szCs w:val="24"/>
        </w:rPr>
        <w:t>согласно акта</w:t>
      </w:r>
      <w:proofErr w:type="gramEnd"/>
      <w:r w:rsidR="00375CD6" w:rsidRPr="00375CD6">
        <w:rPr>
          <w:sz w:val="24"/>
          <w:szCs w:val="24"/>
        </w:rPr>
        <w:t xml:space="preserve"> визуального осмотра от 22.03.2019 (Приложение № 3 к </w:t>
      </w:r>
      <w:r w:rsidR="008E0CC4" w:rsidRPr="00375CD6">
        <w:rPr>
          <w:sz w:val="24"/>
          <w:szCs w:val="24"/>
        </w:rPr>
        <w:t xml:space="preserve"> </w:t>
      </w:r>
      <w:r w:rsidR="00375CD6" w:rsidRPr="00375CD6">
        <w:rPr>
          <w:bCs/>
          <w:sz w:val="24"/>
          <w:szCs w:val="24"/>
        </w:rPr>
        <w:t xml:space="preserve"> настоящему информационному сообщению)</w:t>
      </w:r>
      <w:r w:rsidR="00375CD6">
        <w:rPr>
          <w:bCs/>
          <w:sz w:val="24"/>
          <w:szCs w:val="24"/>
        </w:rPr>
        <w:t>,</w:t>
      </w:r>
      <w:r w:rsidR="002D0D88">
        <w:rPr>
          <w:bCs/>
          <w:sz w:val="24"/>
          <w:szCs w:val="24"/>
        </w:rPr>
        <w:t xml:space="preserve"> </w:t>
      </w:r>
      <w:r w:rsidR="008E0CC4" w:rsidRPr="00375CD6">
        <w:rPr>
          <w:sz w:val="24"/>
          <w:szCs w:val="24"/>
        </w:rPr>
        <w:t xml:space="preserve">оценивается  как  удовлетворительное. Требуется выполнение </w:t>
      </w:r>
      <w:r w:rsidR="007C28D5" w:rsidRPr="00375CD6">
        <w:rPr>
          <w:sz w:val="24"/>
          <w:szCs w:val="24"/>
        </w:rPr>
        <w:t xml:space="preserve">следующих работ: </w:t>
      </w:r>
      <w:r w:rsidR="00375CD6"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="008E0CC4" w:rsidRPr="00375CD6">
        <w:rPr>
          <w:sz w:val="24"/>
          <w:szCs w:val="24"/>
        </w:rPr>
        <w:t xml:space="preserve">. Объект расположен в подвале жилого многоквартирного дома по адресу: </w:t>
      </w:r>
      <w:r w:rsidR="006D465B">
        <w:rPr>
          <w:sz w:val="24"/>
          <w:szCs w:val="24"/>
        </w:rPr>
        <w:t xml:space="preserve">             </w:t>
      </w:r>
      <w:proofErr w:type="gramStart"/>
      <w:r w:rsidR="008E0CC4" w:rsidRPr="00375CD6">
        <w:rPr>
          <w:sz w:val="24"/>
          <w:szCs w:val="24"/>
        </w:rPr>
        <w:t>г</w:t>
      </w:r>
      <w:proofErr w:type="gramEnd"/>
      <w:r w:rsidR="008E0CC4" w:rsidRPr="00375CD6">
        <w:rPr>
          <w:sz w:val="24"/>
          <w:szCs w:val="24"/>
        </w:rPr>
        <w:t xml:space="preserve">. Железногорск, ул. </w:t>
      </w:r>
      <w:r w:rsidR="006D465B">
        <w:rPr>
          <w:sz w:val="24"/>
          <w:szCs w:val="24"/>
        </w:rPr>
        <w:t>Свердлова</w:t>
      </w:r>
      <w:r w:rsidR="008E0CC4" w:rsidRPr="00375CD6">
        <w:rPr>
          <w:sz w:val="24"/>
          <w:szCs w:val="24"/>
        </w:rPr>
        <w:t xml:space="preserve">, д. </w:t>
      </w:r>
      <w:r w:rsidR="006D465B">
        <w:rPr>
          <w:sz w:val="24"/>
          <w:szCs w:val="24"/>
        </w:rPr>
        <w:t>7</w:t>
      </w:r>
      <w:r w:rsidR="008E0CC4" w:rsidRPr="00375CD6">
        <w:rPr>
          <w:sz w:val="24"/>
          <w:szCs w:val="24"/>
        </w:rPr>
        <w:t>, введенного в эксплуатацию  в 196</w:t>
      </w:r>
      <w:r w:rsidR="006D465B">
        <w:rPr>
          <w:sz w:val="24"/>
          <w:szCs w:val="24"/>
        </w:rPr>
        <w:t>3</w:t>
      </w:r>
      <w:r w:rsidR="008E0CC4" w:rsidRPr="00375CD6">
        <w:rPr>
          <w:sz w:val="24"/>
          <w:szCs w:val="24"/>
        </w:rPr>
        <w:t>г</w:t>
      </w:r>
      <w:r w:rsidR="008E0CC4" w:rsidRPr="008E0CC4">
        <w:rPr>
          <w:sz w:val="24"/>
          <w:szCs w:val="24"/>
        </w:rPr>
        <w:t>. Помещение имеет отдельны</w:t>
      </w:r>
      <w:r w:rsidR="002C7B15">
        <w:rPr>
          <w:sz w:val="24"/>
          <w:szCs w:val="24"/>
        </w:rPr>
        <w:t>й</w:t>
      </w:r>
      <w:r w:rsidR="008E0CC4" w:rsidRPr="008E0CC4">
        <w:rPr>
          <w:sz w:val="24"/>
          <w:szCs w:val="24"/>
        </w:rPr>
        <w:t xml:space="preserve"> вход</w:t>
      </w:r>
      <w:r w:rsidR="002C7B15">
        <w:rPr>
          <w:sz w:val="24"/>
          <w:szCs w:val="24"/>
        </w:rPr>
        <w:t xml:space="preserve"> с территории </w:t>
      </w:r>
      <w:r w:rsidR="006D465B">
        <w:rPr>
          <w:sz w:val="24"/>
          <w:szCs w:val="24"/>
        </w:rPr>
        <w:t xml:space="preserve">двора </w:t>
      </w:r>
      <w:r w:rsidR="002C7B15">
        <w:rPr>
          <w:sz w:val="24"/>
          <w:szCs w:val="24"/>
        </w:rPr>
        <w:t>многоквартирного жилого дома</w:t>
      </w:r>
      <w:r w:rsidR="008E0CC4" w:rsidRPr="008E0CC4">
        <w:rPr>
          <w:sz w:val="24"/>
          <w:szCs w:val="24"/>
        </w:rPr>
        <w:t xml:space="preserve">, имеются подъездные пути, парковка.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E661D7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D0D88" w:rsidRPr="002D0D88">
        <w:t>3 367 200</w:t>
      </w:r>
      <w:r w:rsidR="008E0CC4" w:rsidRPr="002D0D88">
        <w:t>,00</w:t>
      </w:r>
      <w:r w:rsidR="008E0CC4" w:rsidRPr="008E0CC4">
        <w:t xml:space="preserve">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1 548,31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1 548,31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>
        <w:rPr>
          <w:b/>
        </w:rPr>
        <w:t>с 0</w:t>
      </w:r>
      <w:r w:rsidR="00D5091A">
        <w:rPr>
          <w:b/>
        </w:rPr>
        <w:t>8</w:t>
      </w:r>
      <w:r w:rsidR="00431EEE">
        <w:rPr>
          <w:b/>
        </w:rPr>
        <w:t xml:space="preserve"> час. 00  мин. «</w:t>
      </w:r>
      <w:r w:rsidR="000B30DB">
        <w:rPr>
          <w:b/>
        </w:rPr>
        <w:t>1</w:t>
      </w:r>
      <w:r w:rsidR="00F67AC4">
        <w:rPr>
          <w:b/>
        </w:rPr>
        <w:t>9</w:t>
      </w:r>
      <w:r w:rsidRPr="0087350D">
        <w:rPr>
          <w:b/>
        </w:rPr>
        <w:t xml:space="preserve">» </w:t>
      </w:r>
      <w:r w:rsidR="003C61C3">
        <w:rPr>
          <w:b/>
        </w:rPr>
        <w:t>дека</w:t>
      </w:r>
      <w:r w:rsidR="00266EFC">
        <w:rPr>
          <w:b/>
        </w:rPr>
        <w:t xml:space="preserve">бря 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2019 года.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Дата окончания приема заявок</w:t>
      </w:r>
      <w:r w:rsidRPr="0087350D">
        <w:t xml:space="preserve"> на участие в аукционе – </w:t>
      </w:r>
      <w:r w:rsidRPr="0087350D">
        <w:rPr>
          <w:b/>
        </w:rPr>
        <w:t xml:space="preserve">в </w:t>
      </w:r>
      <w:r w:rsidR="00D45CBE" w:rsidRPr="0087350D">
        <w:rPr>
          <w:b/>
        </w:rPr>
        <w:t>17 час. 00 мин. «</w:t>
      </w:r>
      <w:r w:rsidR="000B30DB">
        <w:rPr>
          <w:b/>
        </w:rPr>
        <w:t>14</w:t>
      </w:r>
      <w:r w:rsidRPr="0087350D">
        <w:rPr>
          <w:b/>
        </w:rPr>
        <w:t xml:space="preserve">» </w:t>
      </w:r>
      <w:r w:rsidR="000B30DB">
        <w:rPr>
          <w:b/>
        </w:rPr>
        <w:t>феврал</w:t>
      </w:r>
      <w:r w:rsidR="00266EFC">
        <w:rPr>
          <w:b/>
        </w:rPr>
        <w:t xml:space="preserve">я 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Рассмотрение заявок и признание претендентов участниками</w:t>
      </w:r>
      <w:r w:rsidRPr="0087350D">
        <w:t xml:space="preserve"> </w:t>
      </w:r>
      <w:r w:rsidRPr="0087350D">
        <w:rPr>
          <w:b/>
        </w:rPr>
        <w:t>аукциона</w:t>
      </w:r>
      <w:r w:rsidRPr="0087350D">
        <w:t xml:space="preserve"> состоится  </w:t>
      </w:r>
      <w:r w:rsidR="00D45CBE" w:rsidRPr="0087350D">
        <w:rPr>
          <w:b/>
        </w:rPr>
        <w:t>«</w:t>
      </w:r>
      <w:r w:rsidR="000B30DB">
        <w:rPr>
          <w:b/>
        </w:rPr>
        <w:t>18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Аукцион в электронной форме состоится</w:t>
      </w:r>
      <w:r w:rsidRPr="0087350D">
        <w:t xml:space="preserve"> </w:t>
      </w:r>
      <w:r w:rsidRPr="0087350D">
        <w:rPr>
          <w:b/>
        </w:rPr>
        <w:t>в 1</w:t>
      </w:r>
      <w:r w:rsidR="00D33EEF">
        <w:rPr>
          <w:b/>
        </w:rPr>
        <w:t>1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 xml:space="preserve">час. </w:t>
      </w:r>
      <w:r w:rsidR="00D33EEF">
        <w:rPr>
          <w:b/>
        </w:rPr>
        <w:t>0</w:t>
      </w:r>
      <w:r w:rsidRPr="0087350D">
        <w:rPr>
          <w:b/>
        </w:rPr>
        <w:t>0  мин. «</w:t>
      </w:r>
      <w:r w:rsidR="00E66BC2">
        <w:rPr>
          <w:b/>
        </w:rPr>
        <w:t>19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</w:t>
      </w:r>
      <w:r w:rsidRPr="0087350D">
        <w:rPr>
          <w:color w:val="333333"/>
        </w:rPr>
        <w:lastRenderedPageBreak/>
        <w:t xml:space="preserve">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F3333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 xml:space="preserve">» из личного кабинета претендента </w:t>
      </w:r>
      <w:r w:rsidRPr="005F3333">
        <w:t>(образец заявки приведен в Приложении</w:t>
      </w:r>
      <w:r w:rsidR="006911C4"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>.</w:t>
      </w:r>
      <w:r w:rsidR="005F3333" w:rsidRPr="005F3333">
        <w:rPr>
          <w:bCs/>
          <w:color w:val="000000"/>
        </w:rPr>
        <w:t xml:space="preserve">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="00266EFC">
        <w:rPr>
          <w:rFonts w:eastAsia="Calibri"/>
        </w:rPr>
        <w:t>П</w:t>
      </w:r>
      <w:r w:rsidRPr="0087350D">
        <w:rPr>
          <w:rFonts w:eastAsia="Calibri"/>
        </w:rPr>
        <w:t>ретендента.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87350D">
        <w:rPr>
          <w:rFonts w:eastAsia="Calibri"/>
        </w:rPr>
        <w:t>www.torgi.gov.ru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451766" w:rsidRPr="00451766">
        <w:rPr>
          <w:b/>
        </w:rPr>
        <w:t>673 440</w:t>
      </w:r>
      <w:r w:rsidR="00451766" w:rsidRPr="0032357E">
        <w:rPr>
          <w:rFonts w:eastAsia="Calibri"/>
          <w:b/>
        </w:rPr>
        <w:t xml:space="preserve"> </w:t>
      </w:r>
      <w:r w:rsidR="0032357E" w:rsidRPr="0032357E">
        <w:rPr>
          <w:rFonts w:eastAsia="Calibri"/>
          <w:b/>
        </w:rPr>
        <w:t>(</w:t>
      </w:r>
      <w:r w:rsidR="004A7172">
        <w:rPr>
          <w:rFonts w:eastAsia="Calibri"/>
          <w:b/>
        </w:rPr>
        <w:t>шес</w:t>
      </w:r>
      <w:r w:rsidR="0032357E" w:rsidRPr="0032357E">
        <w:rPr>
          <w:rFonts w:eastAsia="Calibri"/>
          <w:b/>
        </w:rPr>
        <w:t>ть</w:t>
      </w:r>
      <w:r w:rsidR="00E66BC2">
        <w:rPr>
          <w:rFonts w:eastAsia="Calibri"/>
          <w:b/>
        </w:rPr>
        <w:t xml:space="preserve">сот </w:t>
      </w:r>
      <w:r w:rsidR="00451766">
        <w:rPr>
          <w:rFonts w:eastAsia="Calibri"/>
          <w:b/>
        </w:rPr>
        <w:t>с</w:t>
      </w:r>
      <w:r w:rsidR="00E66BC2">
        <w:rPr>
          <w:rFonts w:eastAsia="Calibri"/>
          <w:b/>
        </w:rPr>
        <w:t>емьдесят</w:t>
      </w:r>
      <w:r w:rsidR="0032357E" w:rsidRPr="0032357E">
        <w:rPr>
          <w:rFonts w:eastAsia="Calibri"/>
          <w:b/>
        </w:rPr>
        <w:t xml:space="preserve"> </w:t>
      </w:r>
      <w:r w:rsidR="00451766">
        <w:rPr>
          <w:rFonts w:eastAsia="Calibri"/>
          <w:b/>
        </w:rPr>
        <w:t xml:space="preserve">три </w:t>
      </w:r>
      <w:r w:rsidR="0032357E" w:rsidRPr="0032357E">
        <w:rPr>
          <w:rFonts w:eastAsia="Calibri"/>
          <w:b/>
        </w:rPr>
        <w:t>тысяч</w:t>
      </w:r>
      <w:r w:rsidR="00451766">
        <w:rPr>
          <w:rFonts w:eastAsia="Calibri"/>
          <w:b/>
        </w:rPr>
        <w:t>и четыреста сорок</w:t>
      </w:r>
      <w:r w:rsidR="0032357E" w:rsidRPr="0032357E">
        <w:rPr>
          <w:rFonts w:eastAsia="Calibri"/>
          <w:b/>
        </w:rPr>
        <w:t xml:space="preserve">) рублей </w:t>
      </w:r>
      <w:r w:rsidR="004A7172">
        <w:rPr>
          <w:rFonts w:eastAsia="Calibri"/>
          <w:b/>
        </w:rPr>
        <w:t>00</w:t>
      </w:r>
      <w:r w:rsidR="0032357E" w:rsidRPr="0032357E">
        <w:rPr>
          <w:rFonts w:eastAsia="Calibri"/>
          <w:b/>
        </w:rPr>
        <w:t xml:space="preserve"> коп.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7350D">
        <w:rPr>
          <w:rFonts w:eastAsia="Calibri"/>
          <w:b/>
        </w:rPr>
        <w:t>не позднее «</w:t>
      </w:r>
      <w:r w:rsidR="00E66BC2">
        <w:rPr>
          <w:rFonts w:eastAsia="Calibri"/>
          <w:b/>
        </w:rPr>
        <w:t>14</w:t>
      </w:r>
      <w:r w:rsidRPr="0087350D">
        <w:rPr>
          <w:rFonts w:eastAsia="Calibri"/>
          <w:b/>
        </w:rPr>
        <w:t xml:space="preserve">» </w:t>
      </w:r>
      <w:r w:rsidR="00E66BC2">
        <w:rPr>
          <w:rFonts w:eastAsia="Calibri"/>
          <w:b/>
        </w:rPr>
        <w:t>феврал</w:t>
      </w:r>
      <w:r w:rsidR="00266EFC">
        <w:rPr>
          <w:rFonts w:eastAsia="Calibri"/>
          <w:b/>
        </w:rPr>
        <w:t>я</w:t>
      </w:r>
      <w:r w:rsidRPr="0087350D">
        <w:rPr>
          <w:rFonts w:eastAsia="Calibri"/>
          <w:b/>
        </w:rPr>
        <w:t xml:space="preserve"> 20</w:t>
      </w:r>
      <w:r w:rsidR="0052373D">
        <w:rPr>
          <w:rFonts w:eastAsia="Calibri"/>
          <w:b/>
        </w:rPr>
        <w:t>20</w:t>
      </w:r>
      <w:r w:rsidRPr="0087350D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lastRenderedPageBreak/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451766">
        <w:t xml:space="preserve">70 </w:t>
      </w:r>
      <w:r w:rsidR="00E66BC2">
        <w:t xml:space="preserve"> </w:t>
      </w:r>
      <w:r w:rsidR="004A7172">
        <w:t xml:space="preserve">ул. </w:t>
      </w:r>
      <w:r w:rsidR="00451766">
        <w:t>Свердлова</w:t>
      </w:r>
      <w:r w:rsidR="004A7172">
        <w:t xml:space="preserve">, д. </w:t>
      </w:r>
      <w:r w:rsidR="00451766">
        <w:t>7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Pr="00E123DD">
        <w:rPr>
          <w:rFonts w:eastAsia="Calibri"/>
          <w:bCs/>
        </w:rPr>
        <w:lastRenderedPageBreak/>
        <w:t xml:space="preserve">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7" w:history="1">
        <w:r w:rsidR="004A7172" w:rsidRPr="007C2F0A">
          <w:rPr>
            <w:rStyle w:val="a7"/>
          </w:rPr>
          <w:t>http://www.admk26.ru/sfery/kumi/2019/ноябрь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451766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C74B7E" w:rsidRPr="00C74B7E">
        <w:rPr>
          <w:b/>
        </w:rPr>
        <w:t>1</w:t>
      </w:r>
      <w:r w:rsidR="00451766">
        <w:rPr>
          <w:b/>
        </w:rPr>
        <w:t>68</w:t>
      </w:r>
      <w:r w:rsidR="009F1435" w:rsidRPr="009F1435">
        <w:rPr>
          <w:rFonts w:eastAsia="Calibri"/>
          <w:b/>
        </w:rPr>
        <w:t> 000 (</w:t>
      </w:r>
      <w:r w:rsidR="00C74B7E">
        <w:rPr>
          <w:rFonts w:eastAsia="Calibri"/>
          <w:b/>
        </w:rPr>
        <w:t>сто</w:t>
      </w:r>
      <w:r w:rsidR="007D085E">
        <w:rPr>
          <w:rFonts w:eastAsia="Calibri"/>
          <w:b/>
        </w:rPr>
        <w:t xml:space="preserve"> </w:t>
      </w:r>
      <w:r w:rsidR="00451766">
        <w:rPr>
          <w:rFonts w:eastAsia="Calibri"/>
          <w:b/>
        </w:rPr>
        <w:t>шест</w:t>
      </w:r>
      <w:r w:rsidR="00C74B7E">
        <w:rPr>
          <w:rFonts w:eastAsia="Calibri"/>
          <w:b/>
        </w:rPr>
        <w:t>ьдесят</w:t>
      </w:r>
      <w:r w:rsidR="00451766">
        <w:rPr>
          <w:rFonts w:eastAsia="Calibri"/>
          <w:b/>
        </w:rPr>
        <w:t xml:space="preserve"> восемь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>
        <w:rPr>
          <w:sz w:val="24"/>
          <w:szCs w:val="24"/>
        </w:rPr>
        <w:t>1 548</w:t>
      </w:r>
      <w:r w:rsidRPr="00C749E9">
        <w:rPr>
          <w:sz w:val="24"/>
          <w:szCs w:val="24"/>
        </w:rPr>
        <w:t xml:space="preserve"> (</w:t>
      </w:r>
      <w:r>
        <w:rPr>
          <w:sz w:val="24"/>
          <w:szCs w:val="24"/>
        </w:rPr>
        <w:t>одна</w:t>
      </w:r>
      <w:r w:rsidRPr="00C749E9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 сорок восемь</w:t>
      </w:r>
      <w:r w:rsidRPr="00C749E9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31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87350D">
        <w:rPr>
          <w:bCs/>
          <w:i/>
        </w:rPr>
        <w:t xml:space="preserve">Сумму налога на добавленную стоимость </w:t>
      </w:r>
      <w:r>
        <w:rPr>
          <w:bCs/>
          <w:i/>
        </w:rPr>
        <w:t>п</w:t>
      </w:r>
      <w:r w:rsidRPr="0087350D">
        <w:rPr>
          <w:bCs/>
          <w:i/>
        </w:rPr>
        <w:t>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</w:t>
      </w:r>
      <w:r w:rsidRPr="003E2A9E">
        <w:rPr>
          <w:b/>
          <w:szCs w:val="24"/>
        </w:rPr>
        <w:lastRenderedPageBreak/>
        <w:t xml:space="preserve">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C54E0" w:rsidRDefault="009D26FB" w:rsidP="009D26FB">
      <w:pPr>
        <w:widowControl w:val="0"/>
        <w:autoSpaceDE w:val="0"/>
        <w:autoSpaceDN w:val="0"/>
        <w:adjustRightInd w:val="0"/>
        <w:jc w:val="both"/>
      </w:pPr>
      <w:r>
        <w:t>Руководитель КУМИ 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Н.В. </w:t>
      </w:r>
      <w:proofErr w:type="gramStart"/>
      <w:r>
        <w:t>Дедова</w:t>
      </w:r>
      <w:proofErr w:type="gramEnd"/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47918"/>
    <w:rsid w:val="00181CCE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52B29"/>
    <w:rsid w:val="00263ECA"/>
    <w:rsid w:val="00266EFC"/>
    <w:rsid w:val="00275D5E"/>
    <w:rsid w:val="002871CA"/>
    <w:rsid w:val="002C7B15"/>
    <w:rsid w:val="002D0D88"/>
    <w:rsid w:val="002D1EB9"/>
    <w:rsid w:val="00321D47"/>
    <w:rsid w:val="0032357E"/>
    <w:rsid w:val="00351EE7"/>
    <w:rsid w:val="00366E11"/>
    <w:rsid w:val="00372BD3"/>
    <w:rsid w:val="00375CD6"/>
    <w:rsid w:val="003820BC"/>
    <w:rsid w:val="003B1C41"/>
    <w:rsid w:val="003C61C3"/>
    <w:rsid w:val="003E2A9E"/>
    <w:rsid w:val="003F446B"/>
    <w:rsid w:val="0041796B"/>
    <w:rsid w:val="00431EEE"/>
    <w:rsid w:val="0044671D"/>
    <w:rsid w:val="00451766"/>
    <w:rsid w:val="004519A4"/>
    <w:rsid w:val="00470A86"/>
    <w:rsid w:val="00483F74"/>
    <w:rsid w:val="00484F14"/>
    <w:rsid w:val="00495168"/>
    <w:rsid w:val="004A7172"/>
    <w:rsid w:val="004C184E"/>
    <w:rsid w:val="004C5884"/>
    <w:rsid w:val="004F2EC6"/>
    <w:rsid w:val="004F77CF"/>
    <w:rsid w:val="00501B02"/>
    <w:rsid w:val="00504E91"/>
    <w:rsid w:val="00510C80"/>
    <w:rsid w:val="00522876"/>
    <w:rsid w:val="0052373D"/>
    <w:rsid w:val="00564391"/>
    <w:rsid w:val="00573662"/>
    <w:rsid w:val="005A2913"/>
    <w:rsid w:val="005B5CD1"/>
    <w:rsid w:val="005C2631"/>
    <w:rsid w:val="005F3333"/>
    <w:rsid w:val="00641C42"/>
    <w:rsid w:val="006546CC"/>
    <w:rsid w:val="00657BD0"/>
    <w:rsid w:val="006911C4"/>
    <w:rsid w:val="006934E3"/>
    <w:rsid w:val="00693BE8"/>
    <w:rsid w:val="006A2775"/>
    <w:rsid w:val="006A4990"/>
    <w:rsid w:val="006A6B38"/>
    <w:rsid w:val="006D465B"/>
    <w:rsid w:val="006D6CBA"/>
    <w:rsid w:val="006E46BB"/>
    <w:rsid w:val="006F78B2"/>
    <w:rsid w:val="00700897"/>
    <w:rsid w:val="00715BAD"/>
    <w:rsid w:val="00733C08"/>
    <w:rsid w:val="0073476F"/>
    <w:rsid w:val="007557BB"/>
    <w:rsid w:val="007B4A3B"/>
    <w:rsid w:val="007C28D5"/>
    <w:rsid w:val="007D085E"/>
    <w:rsid w:val="007D5BE1"/>
    <w:rsid w:val="007D62A2"/>
    <w:rsid w:val="007E4536"/>
    <w:rsid w:val="007F01B8"/>
    <w:rsid w:val="007F201D"/>
    <w:rsid w:val="0080658A"/>
    <w:rsid w:val="00850886"/>
    <w:rsid w:val="0087350D"/>
    <w:rsid w:val="00885F85"/>
    <w:rsid w:val="00895EC6"/>
    <w:rsid w:val="008D0F77"/>
    <w:rsid w:val="008E0CC4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B22248"/>
    <w:rsid w:val="00B32B92"/>
    <w:rsid w:val="00B32EE1"/>
    <w:rsid w:val="00B41907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F3357"/>
    <w:rsid w:val="00D02073"/>
    <w:rsid w:val="00D20BF8"/>
    <w:rsid w:val="00D277F9"/>
    <w:rsid w:val="00D33EEF"/>
    <w:rsid w:val="00D37700"/>
    <w:rsid w:val="00D45CBE"/>
    <w:rsid w:val="00D46903"/>
    <w:rsid w:val="00D5091A"/>
    <w:rsid w:val="00D51EB0"/>
    <w:rsid w:val="00D66D36"/>
    <w:rsid w:val="00D738A7"/>
    <w:rsid w:val="00DD0F24"/>
    <w:rsid w:val="00DE7754"/>
    <w:rsid w:val="00E123DD"/>
    <w:rsid w:val="00E21192"/>
    <w:rsid w:val="00E30A04"/>
    <w:rsid w:val="00E42751"/>
    <w:rsid w:val="00E46400"/>
    <w:rsid w:val="00E6206C"/>
    <w:rsid w:val="00E661D7"/>
    <w:rsid w:val="00E66BC2"/>
    <w:rsid w:val="00E93C0C"/>
    <w:rsid w:val="00E97409"/>
    <w:rsid w:val="00EE126F"/>
    <w:rsid w:val="00EE5CD6"/>
    <w:rsid w:val="00EF1190"/>
    <w:rsid w:val="00EF494C"/>
    <w:rsid w:val="00F51BCF"/>
    <w:rsid w:val="00F67AC4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admk26.ru/sfery/kumi/2019/&#1085;&#1086;&#1103;&#1073;&#1088;&#1100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298F-0FCF-4D15-B9E0-F7F2953A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2019-11-26T09:10:00Z</cp:lastPrinted>
  <dcterms:created xsi:type="dcterms:W3CDTF">2019-12-04T09:08:00Z</dcterms:created>
  <dcterms:modified xsi:type="dcterms:W3CDTF">2019-12-16T03:26:00Z</dcterms:modified>
</cp:coreProperties>
</file>