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sz w:val="24"/>
                <w:szCs w:val="24"/>
              </w:rPr>
              <w:t>предприятие</w:t>
            </w:r>
            <w:proofErr w:type="gramEnd"/>
            <w:r>
              <w:rPr>
                <w:sz w:val="24"/>
                <w:szCs w:val="24"/>
              </w:rPr>
              <w:t xml:space="preserve"> ЗАТО Железногорск Красноярского края «Информационный центр»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  <w:proofErr w:type="gramEnd"/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1022401409172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Default="00D8732F" w:rsidP="00D8732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Кротова Людмила Георгиевна</w:t>
            </w:r>
            <w:r w:rsidR="003332A1">
              <w:rPr>
                <w:sz w:val="24"/>
                <w:szCs w:val="24"/>
              </w:rPr>
              <w:t xml:space="preserve">, распоряжение </w:t>
            </w:r>
            <w:proofErr w:type="gramStart"/>
            <w:r w:rsidR="003332A1">
              <w:rPr>
                <w:sz w:val="24"/>
                <w:szCs w:val="24"/>
              </w:rPr>
              <w:t>Администрации</w:t>
            </w:r>
            <w:proofErr w:type="gramEnd"/>
            <w:r w:rsidR="003332A1">
              <w:rPr>
                <w:sz w:val="24"/>
                <w:szCs w:val="24"/>
              </w:rPr>
              <w:t xml:space="preserve"> ЗАТО г. Железногорск от </w:t>
            </w:r>
            <w:r>
              <w:rPr>
                <w:sz w:val="24"/>
                <w:szCs w:val="24"/>
              </w:rPr>
              <w:t>10.07.2019</w:t>
            </w:r>
            <w:r w:rsidR="003332A1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38</w:t>
            </w:r>
            <w:r w:rsidR="003332A1">
              <w:rPr>
                <w:sz w:val="24"/>
                <w:szCs w:val="24"/>
              </w:rPr>
              <w:t>р-лс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Default="00030F27" w:rsidP="00AA4A5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плановые показ</w:t>
            </w:r>
            <w:r w:rsidR="00F267D0">
              <w:rPr>
                <w:sz w:val="24"/>
                <w:szCs w:val="24"/>
              </w:rPr>
              <w:t>атели деятельности на 201</w:t>
            </w:r>
            <w:r w:rsidR="00AA4A54">
              <w:rPr>
                <w:sz w:val="24"/>
                <w:szCs w:val="24"/>
              </w:rPr>
              <w:t>9</w:t>
            </w:r>
            <w:r w:rsidR="00F267D0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</w:t>
            </w:r>
            <w:proofErr w:type="gramStart"/>
            <w:r w:rsidR="00F267D0">
              <w:rPr>
                <w:sz w:val="24"/>
                <w:szCs w:val="24"/>
              </w:rPr>
              <w:t>Администрации</w:t>
            </w:r>
            <w:proofErr w:type="gramEnd"/>
            <w:r w:rsidR="00F267D0">
              <w:rPr>
                <w:sz w:val="24"/>
                <w:szCs w:val="24"/>
              </w:rPr>
              <w:t xml:space="preserve"> ЗАТО г. Железногорск от 26.06.2014 № 1765.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D53080" w:rsidRDefault="00D53080">
            <w:pPr>
              <w:ind w:left="57" w:right="57"/>
              <w:jc w:val="both"/>
              <w:rPr>
                <w:sz w:val="24"/>
                <w:szCs w:val="24"/>
              </w:rPr>
            </w:pPr>
            <w:r w:rsidRPr="00D53080">
              <w:rPr>
                <w:sz w:val="24"/>
                <w:szCs w:val="24"/>
              </w:rPr>
              <w:t>12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</w:t>
            </w:r>
            <w:r>
              <w:rPr>
                <w:sz w:val="24"/>
                <w:szCs w:val="24"/>
              </w:rPr>
              <w:lastRenderedPageBreak/>
              <w:t>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Default="00D8732F" w:rsidP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3 343,0 тыс.</w:t>
            </w:r>
            <w:r w:rsidR="000B5A05">
              <w:rPr>
                <w:sz w:val="24"/>
                <w:szCs w:val="24"/>
              </w:rPr>
              <w:t xml:space="preserve"> руб.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Pr="0008265C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>
              <w:rPr>
                <w:sz w:val="24"/>
                <w:szCs w:val="24"/>
              </w:rPr>
              <w:t>стоит на кадастровом учете</w:t>
            </w:r>
            <w:proofErr w:type="gramEnd"/>
            <w:r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986543" w:rsidRPr="00D53080" w:rsidRDefault="00D8732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205,1 тыс.рублей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оказанных услуг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  <w:r>
              <w:rPr>
                <w:sz w:val="24"/>
                <w:szCs w:val="24"/>
              </w:rPr>
              <w:t xml:space="preserve"> предыдущие 3 года: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–</w:t>
            </w:r>
            <w:r w:rsidR="00030F27">
              <w:rPr>
                <w:sz w:val="24"/>
                <w:szCs w:val="24"/>
              </w:rPr>
              <w:t xml:space="preserve"> </w:t>
            </w:r>
            <w:r w:rsidR="00D20043">
              <w:rPr>
                <w:sz w:val="24"/>
                <w:szCs w:val="24"/>
              </w:rPr>
              <w:t xml:space="preserve">5 255,0 </w:t>
            </w:r>
            <w:r w:rsidR="00030F27">
              <w:rPr>
                <w:sz w:val="24"/>
                <w:szCs w:val="24"/>
              </w:rPr>
              <w:t>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год- </w:t>
            </w:r>
            <w:r w:rsidR="00D20043">
              <w:rPr>
                <w:sz w:val="24"/>
                <w:szCs w:val="24"/>
              </w:rPr>
              <w:t xml:space="preserve">5 196,1 </w:t>
            </w:r>
            <w:r w:rsidR="00030F27">
              <w:rPr>
                <w:sz w:val="24"/>
                <w:szCs w:val="24"/>
              </w:rPr>
              <w:t>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 –</w:t>
            </w:r>
            <w:r w:rsidR="00030F27">
              <w:rPr>
                <w:sz w:val="24"/>
                <w:szCs w:val="24"/>
              </w:rPr>
              <w:t xml:space="preserve"> </w:t>
            </w:r>
            <w:r w:rsidR="00D20043">
              <w:rPr>
                <w:sz w:val="24"/>
                <w:szCs w:val="24"/>
              </w:rPr>
              <w:t>7 351,6</w:t>
            </w:r>
            <w:r w:rsidR="00030F27">
              <w:rPr>
                <w:sz w:val="24"/>
                <w:szCs w:val="24"/>
              </w:rPr>
              <w:t xml:space="preserve">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Default="000B5A05" w:rsidP="003A14A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показатели на 201</w:t>
            </w:r>
            <w:r w:rsidR="00D2004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 - </w:t>
            </w:r>
            <w:r w:rsidR="00030F27">
              <w:rPr>
                <w:sz w:val="24"/>
                <w:szCs w:val="24"/>
              </w:rPr>
              <w:t xml:space="preserve">    </w:t>
            </w:r>
            <w:r w:rsidR="003A14A8" w:rsidRPr="00D50A34">
              <w:rPr>
                <w:sz w:val="24"/>
                <w:szCs w:val="24"/>
              </w:rPr>
              <w:t>8 200,00</w:t>
            </w:r>
            <w:r w:rsidR="00030F27" w:rsidRPr="00D50A34">
              <w:rPr>
                <w:sz w:val="24"/>
                <w:szCs w:val="24"/>
              </w:rPr>
              <w:t xml:space="preserve"> тыс</w:t>
            </w:r>
            <w:proofErr w:type="gramStart"/>
            <w:r w:rsidR="00030F27" w:rsidRPr="00D50A34">
              <w:rPr>
                <w:sz w:val="24"/>
                <w:szCs w:val="24"/>
              </w:rPr>
              <w:t>.р</w:t>
            </w:r>
            <w:proofErr w:type="gramEnd"/>
            <w:r w:rsidR="00030F27" w:rsidRPr="00D50A34">
              <w:rPr>
                <w:sz w:val="24"/>
                <w:szCs w:val="24"/>
              </w:rPr>
              <w:t>уб</w:t>
            </w:r>
            <w:r w:rsidR="00030F27">
              <w:rPr>
                <w:sz w:val="24"/>
                <w:szCs w:val="24"/>
              </w:rPr>
              <w:t>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</w:t>
            </w:r>
            <w:r>
              <w:rPr>
                <w:sz w:val="24"/>
                <w:szCs w:val="24"/>
              </w:rPr>
              <w:lastRenderedPageBreak/>
              <w:t>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C554DD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6AB" w:rsidRDefault="005C56AB">
      <w:r>
        <w:separator/>
      </w:r>
    </w:p>
  </w:endnote>
  <w:endnote w:type="continuationSeparator" w:id="0">
    <w:p w:rsidR="005C56AB" w:rsidRDefault="005C5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6AB" w:rsidRDefault="005C56AB">
      <w:r>
        <w:separator/>
      </w:r>
    </w:p>
  </w:footnote>
  <w:footnote w:type="continuationSeparator" w:id="0">
    <w:p w:rsidR="005C56AB" w:rsidRDefault="005C56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B460D"/>
    <w:rsid w:val="000B5A05"/>
    <w:rsid w:val="000E60E4"/>
    <w:rsid w:val="0014500D"/>
    <w:rsid w:val="00331CBA"/>
    <w:rsid w:val="003332A1"/>
    <w:rsid w:val="00346BCD"/>
    <w:rsid w:val="00384057"/>
    <w:rsid w:val="003A14A8"/>
    <w:rsid w:val="00432597"/>
    <w:rsid w:val="004C6E81"/>
    <w:rsid w:val="004F0A5E"/>
    <w:rsid w:val="00545665"/>
    <w:rsid w:val="00576D87"/>
    <w:rsid w:val="005C56AB"/>
    <w:rsid w:val="00622469"/>
    <w:rsid w:val="00662440"/>
    <w:rsid w:val="007362B6"/>
    <w:rsid w:val="00805026"/>
    <w:rsid w:val="008C43B3"/>
    <w:rsid w:val="009044B4"/>
    <w:rsid w:val="00940F2A"/>
    <w:rsid w:val="00976CB7"/>
    <w:rsid w:val="00986543"/>
    <w:rsid w:val="00AA4A54"/>
    <w:rsid w:val="00AD1EB3"/>
    <w:rsid w:val="00B22AC5"/>
    <w:rsid w:val="00B715A1"/>
    <w:rsid w:val="00C554DD"/>
    <w:rsid w:val="00D20043"/>
    <w:rsid w:val="00D50A34"/>
    <w:rsid w:val="00D53080"/>
    <w:rsid w:val="00D54800"/>
    <w:rsid w:val="00D744A2"/>
    <w:rsid w:val="00D8732F"/>
    <w:rsid w:val="00DA1381"/>
    <w:rsid w:val="00E20D0B"/>
    <w:rsid w:val="00ED42BF"/>
    <w:rsid w:val="00F2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3</cp:revision>
  <cp:lastPrinted>2019-05-21T04:41:00Z</cp:lastPrinted>
  <dcterms:created xsi:type="dcterms:W3CDTF">2019-08-27T07:18:00Z</dcterms:created>
  <dcterms:modified xsi:type="dcterms:W3CDTF">2019-08-27T07:24:00Z</dcterms:modified>
</cp:coreProperties>
</file>