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4782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0777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7774C">
              <w:rPr>
                <w:rFonts w:ascii="Times New Roman" w:hAnsi="Times New Roman" w:cs="Times New Roman"/>
                <w:sz w:val="24"/>
                <w:szCs w:val="24"/>
              </w:rPr>
              <w:t>10.11.2022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74C">
              <w:rPr>
                <w:rFonts w:ascii="Times New Roman" w:hAnsi="Times New Roman" w:cs="Times New Roman"/>
                <w:sz w:val="24"/>
                <w:szCs w:val="24"/>
              </w:rPr>
              <w:t>2324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493DC1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  07.11.2013  № 1763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493DC1" w:rsidRPr="00C70E78" w:rsidRDefault="00493DC1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CD26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МБУ «Комбинат благоустройства»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9F66DC" w:rsidRPr="00C70E78" w:rsidRDefault="00BC04F7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Default="00BC04F7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.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  <w:p w:rsidR="00284924" w:rsidRPr="00284924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Отдельное мероприятие Программы:</w:t>
            </w:r>
            <w:r w:rsidRPr="00284924">
              <w:rPr>
                <w:sz w:val="26"/>
                <w:szCs w:val="26"/>
              </w:rPr>
              <w:t xml:space="preserve"> </w:t>
            </w:r>
          </w:p>
          <w:p w:rsidR="00374AEB" w:rsidRPr="00C70E78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Железногорск».</w:t>
            </w:r>
          </w:p>
        </w:tc>
      </w:tr>
      <w:tr w:rsidR="008E32DD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E32DD" w:rsidRPr="00C70E78" w:rsidRDefault="008E32DD" w:rsidP="00027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 муниципальной программы</w:t>
            </w:r>
          </w:p>
        </w:tc>
        <w:tc>
          <w:tcPr>
            <w:tcW w:w="6379" w:type="dxa"/>
            <w:vAlign w:val="center"/>
          </w:tcPr>
          <w:p w:rsidR="008E32DD" w:rsidRPr="00C70E78" w:rsidRDefault="008E32DD" w:rsidP="00027C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 Обеспечение развития жилищно-коммунального и энергетического комплекса ЗАТО Железногорск.</w:t>
            </w:r>
          </w:p>
          <w:p w:rsidR="008E32DD" w:rsidRPr="00C70E78" w:rsidRDefault="008E32DD" w:rsidP="00027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Эффективное и рациональное использование энергетических ресурсов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CD26B3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35AB1" w:rsidRPr="00C70E78" w:rsidRDefault="00CD26B3" w:rsidP="008E32D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4792" w:rsidRPr="00C70E78" w:rsidTr="00383A14">
        <w:tc>
          <w:tcPr>
            <w:tcW w:w="3510" w:type="dxa"/>
            <w:vAlign w:val="center"/>
          </w:tcPr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79" w:type="dxa"/>
            <w:vAlign w:val="center"/>
          </w:tcPr>
          <w:p w:rsidR="00F44792" w:rsidRPr="00C70E78" w:rsidRDefault="00F44792" w:rsidP="000222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F447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</w:t>
            </w:r>
            <w:proofErr w:type="gramStart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  <w:proofErr w:type="gramEnd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="00F4479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3712EE" w:rsidRPr="00C70E78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3712EE" w:rsidRDefault="00D926BB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 xml:space="preserve">оличество новых потребителей, подключенных к 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>инженерным</w:t>
            </w:r>
            <w:r w:rsidR="000D6E54" w:rsidRPr="000D6E54">
              <w:rPr>
                <w:rFonts w:ascii="Times New Roman" w:hAnsi="Times New Roman" w:cs="Times New Roman"/>
                <w:sz w:val="26"/>
                <w:szCs w:val="26"/>
              </w:rPr>
              <w:t xml:space="preserve"> сетям в течение года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216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46A6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8825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E32D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>подтвердившихся  обращений граждан о некачественном предоставлении услуг в коммунально-бытовой сфере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88,</w:t>
            </w:r>
            <w:r w:rsidR="008E32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оля объемов холодной воды, расчеты за которую осуществляются с использованием приборов в общем   объеме холодной воды, потребляемой (используемой) 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8E32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22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35AB1">
              <w:rPr>
                <w:rFonts w:ascii="Times New Roman" w:hAnsi="Times New Roman" w:cs="Times New Roman"/>
                <w:sz w:val="26"/>
                <w:szCs w:val="26"/>
              </w:rPr>
              <w:t xml:space="preserve"> году,</w:t>
            </w:r>
            <w:r w:rsidR="00F52E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00ED" w:rsidRPr="00C70E78" w:rsidRDefault="00F52E1D" w:rsidP="00F52E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планируемых к достижению значений целевых показателей и показателей результативности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разбивке по годам реализации муниципальной программы приведен в Приложении к паспорту программы.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AD513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по Программе: </w:t>
            </w:r>
            <w:r w:rsidR="00BC04F7">
              <w:rPr>
                <w:rFonts w:ascii="Times New Roman" w:hAnsi="Times New Roman"/>
                <w:sz w:val="27"/>
                <w:szCs w:val="27"/>
              </w:rPr>
              <w:t>37 528 546</w:t>
            </w:r>
            <w:r w:rsidR="001D640E" w:rsidRPr="00AD513D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 w:rsidRPr="00AD513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AD513D">
              <w:rPr>
                <w:rFonts w:ascii="Times New Roman" w:hAnsi="Times New Roman"/>
                <w:sz w:val="27"/>
                <w:szCs w:val="27"/>
              </w:rPr>
              <w:t xml:space="preserve">руб., в том числе: </w:t>
            </w:r>
          </w:p>
          <w:p w:rsidR="00E90D9D" w:rsidRPr="00AD513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AD513D">
              <w:rPr>
                <w:rFonts w:ascii="Times New Roman" w:hAnsi="Times New Roman"/>
                <w:sz w:val="27"/>
                <w:szCs w:val="27"/>
              </w:rPr>
              <w:t>Местный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AD513D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BC04F7">
              <w:rPr>
                <w:rFonts w:ascii="Times New Roman" w:hAnsi="Times New Roman"/>
                <w:sz w:val="27"/>
                <w:szCs w:val="27"/>
              </w:rPr>
              <w:t>37 528 546</w:t>
            </w:r>
            <w:r w:rsidR="00C70912" w:rsidRPr="00AD513D">
              <w:rPr>
                <w:rFonts w:ascii="Times New Roman" w:hAnsi="Times New Roman"/>
                <w:sz w:val="27"/>
                <w:szCs w:val="27"/>
              </w:rPr>
              <w:t>,00</w:t>
            </w:r>
            <w:r w:rsidRPr="00AD513D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BC04F7">
              <w:rPr>
                <w:rFonts w:ascii="Times New Roman" w:hAnsi="Times New Roman"/>
                <w:sz w:val="27"/>
                <w:szCs w:val="27"/>
                <w:u w:val="single"/>
              </w:rPr>
              <w:t>18 567 482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4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BC04F7">
              <w:rPr>
                <w:rFonts w:ascii="Times New Roman" w:hAnsi="Times New Roman"/>
                <w:sz w:val="27"/>
                <w:szCs w:val="27"/>
                <w:u w:val="single"/>
              </w:rPr>
              <w:t>9 480 532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5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BC04F7">
              <w:rPr>
                <w:rFonts w:ascii="Times New Roman" w:hAnsi="Times New Roman"/>
                <w:sz w:val="27"/>
                <w:szCs w:val="27"/>
                <w:u w:val="single"/>
              </w:rPr>
              <w:t>9 480 532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AD513D">
              <w:rPr>
                <w:rFonts w:ascii="Times New Roman" w:hAnsi="Times New Roman"/>
                <w:sz w:val="27"/>
                <w:szCs w:val="27"/>
              </w:rPr>
              <w:t>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4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5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3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4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E90D9D" w:rsidP="000222C8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0222C8">
              <w:rPr>
                <w:rFonts w:ascii="Times New Roman" w:hAnsi="Times New Roman"/>
                <w:sz w:val="27"/>
                <w:szCs w:val="27"/>
              </w:rPr>
              <w:t>5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</w:tc>
      </w:tr>
    </w:tbl>
    <w:p w:rsidR="00AA3BE6" w:rsidRPr="00C70E78" w:rsidRDefault="00AA3BE6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00ED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EE00ED" w:rsidP="00B55D2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Руководитель УГХ                                                         </w:t>
      </w:r>
      <w:r w:rsidR="00CE6229">
        <w:rPr>
          <w:rFonts w:ascii="Times New Roman" w:hAnsi="Times New Roman" w:cs="Times New Roman"/>
          <w:sz w:val="26"/>
          <w:szCs w:val="26"/>
        </w:rPr>
        <w:t>А.Ф.Тельманова</w:t>
      </w:r>
    </w:p>
    <w:p w:rsidR="000222C8" w:rsidRDefault="000222C8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876E0" w:rsidRDefault="00F876E0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F44792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развития в жилищно-коммунальной сфере конкурентных рыночных отношений и привлечения частного сектора к управлению объектами коммунальной </w:t>
      </w:r>
      <w:r w:rsidRPr="00C70E78">
        <w:rPr>
          <w:sz w:val="26"/>
          <w:szCs w:val="26"/>
        </w:rPr>
        <w:lastRenderedPageBreak/>
        <w:t>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>26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 w:rsidR="00CE6229">
        <w:rPr>
          <w:sz w:val="26"/>
          <w:szCs w:val="26"/>
          <w:lang w:eastAsia="ru-RU"/>
        </w:rPr>
        <w:t>47,</w:t>
      </w:r>
      <w:r w:rsidR="00B91C52">
        <w:rPr>
          <w:sz w:val="26"/>
          <w:szCs w:val="26"/>
          <w:lang w:eastAsia="ru-RU"/>
        </w:rPr>
        <w:t>78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</w:t>
      </w:r>
      <w:r w:rsidR="00B91C52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0222C8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населению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0222C8">
        <w:rPr>
          <w:rFonts w:ascii="Times New Roman" w:hAnsi="Times New Roman" w:cs="Times New Roman"/>
          <w:sz w:val="26"/>
          <w:szCs w:val="26"/>
          <w:lang w:eastAsia="ru-RU"/>
        </w:rPr>
        <w:t>2476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0222C8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0222C8">
        <w:rPr>
          <w:rFonts w:ascii="Times New Roman" w:hAnsi="Times New Roman" w:cs="Times New Roman"/>
          <w:sz w:val="26"/>
          <w:szCs w:val="26"/>
          <w:lang w:eastAsia="ru-RU"/>
        </w:rPr>
        <w:t>122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6,</w:t>
      </w:r>
      <w:r w:rsidR="000222C8">
        <w:rPr>
          <w:rFonts w:ascii="Times New Roman" w:hAnsi="Times New Roman" w:cs="Times New Roman"/>
          <w:sz w:val="26"/>
          <w:szCs w:val="26"/>
          <w:lang w:eastAsia="ru-RU"/>
        </w:rPr>
        <w:t>54157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0</w:t>
      </w:r>
      <w:r w:rsidR="000222C8">
        <w:rPr>
          <w:rFonts w:ascii="Times New Roman" w:hAnsi="Times New Roman" w:cs="Times New Roman"/>
          <w:sz w:val="26"/>
          <w:szCs w:val="26"/>
          <w:lang w:eastAsia="ru-RU"/>
        </w:rPr>
        <w:t>15540473</w:t>
      </w:r>
      <w:r w:rsidR="005B5C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0222C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87,528415 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</w:t>
      </w:r>
      <w:r w:rsidR="00766D23">
        <w:rPr>
          <w:rFonts w:ascii="Times New Roman" w:eastAsia="Calibri" w:hAnsi="Times New Roman" w:cs="Times New Roman"/>
          <w:sz w:val="26"/>
          <w:szCs w:val="26"/>
        </w:rPr>
        <w:t xml:space="preserve">ности (поселки </w:t>
      </w:r>
      <w:proofErr w:type="spellStart"/>
      <w:r w:rsidR="00766D23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="00766D23">
        <w:rPr>
          <w:rFonts w:ascii="Times New Roman" w:eastAsia="Calibri" w:hAnsi="Times New Roman" w:cs="Times New Roman"/>
          <w:sz w:val="26"/>
          <w:szCs w:val="26"/>
        </w:rPr>
        <w:t>, Новый П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66D23">
        <w:rPr>
          <w:rFonts w:ascii="Times New Roman" w:eastAsia="Calibri" w:hAnsi="Times New Roman" w:cs="Times New Roman"/>
          <w:sz w:val="26"/>
          <w:szCs w:val="26"/>
        </w:rPr>
        <w:t>99,4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66D23">
        <w:rPr>
          <w:rFonts w:ascii="Times New Roman" w:eastAsia="Calibri" w:hAnsi="Times New Roman" w:cs="Times New Roman"/>
          <w:sz w:val="26"/>
          <w:szCs w:val="26"/>
        </w:rPr>
        <w:t>82,95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66D23">
        <w:rPr>
          <w:rFonts w:ascii="Times New Roman" w:eastAsia="Calibri" w:hAnsi="Times New Roman" w:cs="Times New Roman"/>
          <w:sz w:val="26"/>
          <w:szCs w:val="26"/>
        </w:rPr>
        <w:t>99,4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местности и </w:t>
      </w:r>
      <w:r w:rsidR="00766D23">
        <w:rPr>
          <w:rFonts w:ascii="Times New Roman" w:eastAsia="Calibri" w:hAnsi="Times New Roman" w:cs="Times New Roman"/>
          <w:sz w:val="26"/>
          <w:szCs w:val="26"/>
        </w:rPr>
        <w:t>82,95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66D23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Вместе с тем в жилищно-коммунальном хозяйстве в настоящее время активно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Электроснабжение г. Железногорска и прилегающих районов осуществляется от 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6 кВ по потребителям города </w:t>
      </w:r>
      <w:r w:rsidRPr="00C70E78">
        <w:rPr>
          <w:sz w:val="26"/>
          <w:szCs w:val="26"/>
        </w:rPr>
        <w:lastRenderedPageBreak/>
        <w:t>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7E628E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</w:t>
      </w:r>
      <w:r w:rsidR="007E628E">
        <w:rPr>
          <w:sz w:val="26"/>
          <w:szCs w:val="26"/>
        </w:rPr>
        <w:t>4</w:t>
      </w:r>
      <w:r w:rsidR="00CE0039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 xml:space="preserve">проектов, а также перспективы развития жилищного и коммунально-бытового строительства общая мощность потребления ЗАТО Железногорск к </w:t>
      </w:r>
      <w:r w:rsidR="00171EAF">
        <w:rPr>
          <w:sz w:val="26"/>
          <w:szCs w:val="26"/>
        </w:rPr>
        <w:t>202</w:t>
      </w:r>
      <w:r w:rsidR="000222C8">
        <w:rPr>
          <w:sz w:val="26"/>
          <w:szCs w:val="26"/>
        </w:rPr>
        <w:t>5</w:t>
      </w:r>
      <w:r w:rsidRPr="0078431F">
        <w:rPr>
          <w:sz w:val="26"/>
          <w:szCs w:val="26"/>
        </w:rPr>
        <w:t xml:space="preserve"> году составит 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-неразвитость сетей 6кВ и 0,4кВ, отсутствие возможности передачи электрических </w:t>
      </w:r>
      <w:r w:rsidRPr="00C70E78">
        <w:rPr>
          <w:rFonts w:ascii="Times New Roman" w:hAnsi="Times New Roman"/>
          <w:sz w:val="26"/>
          <w:szCs w:val="26"/>
        </w:rPr>
        <w:lastRenderedPageBreak/>
        <w:t>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>име</w:t>
      </w:r>
      <w:r w:rsidR="00766D23">
        <w:rPr>
          <w:rFonts w:ascii="Times New Roman" w:hAnsi="Times New Roman" w:cs="Times New Roman"/>
          <w:sz w:val="26"/>
          <w:szCs w:val="26"/>
        </w:rPr>
        <w:t>ло</w:t>
      </w:r>
      <w:r w:rsidR="00C32AD0">
        <w:rPr>
          <w:rFonts w:ascii="Times New Roman" w:hAnsi="Times New Roman" w:cs="Times New Roman"/>
          <w:sz w:val="26"/>
          <w:szCs w:val="26"/>
        </w:rPr>
        <w:t xml:space="preserve"> место </w:t>
      </w:r>
      <w:r w:rsidR="00766D23">
        <w:rPr>
          <w:rFonts w:ascii="Times New Roman" w:hAnsi="Times New Roman" w:cs="Times New Roman"/>
          <w:sz w:val="26"/>
          <w:szCs w:val="26"/>
        </w:rPr>
        <w:t>н</w:t>
      </w:r>
      <w:r w:rsidR="00C32AD0">
        <w:rPr>
          <w:rFonts w:ascii="Times New Roman" w:hAnsi="Times New Roman" w:cs="Times New Roman"/>
          <w:sz w:val="26"/>
          <w:szCs w:val="26"/>
        </w:rPr>
        <w:t>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связи с чем </w:t>
      </w:r>
      <w:r w:rsidR="00766D23">
        <w:rPr>
          <w:rFonts w:ascii="Times New Roman" w:hAnsi="Times New Roman" w:cs="Times New Roman"/>
          <w:sz w:val="26"/>
          <w:szCs w:val="26"/>
        </w:rPr>
        <w:t xml:space="preserve">в 2021 году в </w:t>
      </w:r>
      <w:proofErr w:type="spellStart"/>
      <w:r w:rsidR="00766D23">
        <w:rPr>
          <w:rFonts w:ascii="Times New Roman" w:hAnsi="Times New Roman" w:cs="Times New Roman"/>
          <w:sz w:val="26"/>
          <w:szCs w:val="26"/>
        </w:rPr>
        <w:t>пос</w:t>
      </w:r>
      <w:proofErr w:type="gramStart"/>
      <w:r w:rsidR="00766D23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766D23">
        <w:rPr>
          <w:rFonts w:ascii="Times New Roman" w:hAnsi="Times New Roman" w:cs="Times New Roman"/>
          <w:sz w:val="26"/>
          <w:szCs w:val="26"/>
        </w:rPr>
        <w:t>артат</w:t>
      </w:r>
      <w:proofErr w:type="spellEnd"/>
      <w:r w:rsidR="00766D23">
        <w:rPr>
          <w:rFonts w:ascii="Times New Roman" w:hAnsi="Times New Roman" w:cs="Times New Roman"/>
          <w:sz w:val="26"/>
          <w:szCs w:val="26"/>
        </w:rPr>
        <w:t xml:space="preserve"> и Новый Путь были установлены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F82C69">
        <w:rPr>
          <w:rFonts w:ascii="Times New Roman" w:hAnsi="Times New Roman" w:cs="Times New Roman"/>
          <w:sz w:val="26"/>
          <w:szCs w:val="26"/>
        </w:rPr>
        <w:t>ы</w:t>
      </w:r>
      <w:r w:rsidRPr="00C70E78">
        <w:rPr>
          <w:rFonts w:ascii="Times New Roman" w:hAnsi="Times New Roman" w:cs="Times New Roman"/>
          <w:sz w:val="26"/>
          <w:szCs w:val="26"/>
        </w:rPr>
        <w:t xml:space="preserve"> обеззараживания воды</w:t>
      </w:r>
      <w:r w:rsidR="00F82C69">
        <w:rPr>
          <w:rFonts w:ascii="Times New Roman" w:hAnsi="Times New Roman" w:cs="Times New Roman"/>
          <w:sz w:val="26"/>
          <w:szCs w:val="26"/>
        </w:rPr>
        <w:t>, при этом требуется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реконструкция водопроводных сетей</w:t>
      </w:r>
      <w:r w:rsidR="00F82C69">
        <w:rPr>
          <w:rFonts w:ascii="Times New Roman" w:hAnsi="Times New Roman" w:cs="Times New Roman"/>
          <w:sz w:val="26"/>
          <w:szCs w:val="26"/>
        </w:rPr>
        <w:t xml:space="preserve"> на территории поселков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</w:t>
      </w:r>
      <w:r w:rsidR="00F82C69">
        <w:rPr>
          <w:rFonts w:ascii="Times New Roman" w:hAnsi="Times New Roman" w:cs="Times New Roman"/>
          <w:sz w:val="26"/>
          <w:szCs w:val="26"/>
        </w:rPr>
        <w:t xml:space="preserve">е Подгорный и </w:t>
      </w:r>
      <w:proofErr w:type="spellStart"/>
      <w:r w:rsidR="00F82C69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Енисей. Состояние городских очистных сооружений удовлетворительное, степень очистки 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</w:t>
      </w:r>
      <w:r w:rsidR="00CD26B3">
        <w:rPr>
          <w:rFonts w:ascii="Times New Roman" w:eastAsia="Calibri" w:hAnsi="Times New Roman" w:cs="Times New Roman"/>
          <w:bCs/>
          <w:sz w:val="26"/>
          <w:szCs w:val="26"/>
        </w:rPr>
        <w:t>При этом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очистны</w:t>
      </w:r>
      <w:r w:rsidR="00CD26B3">
        <w:rPr>
          <w:rFonts w:ascii="Times New Roman" w:eastAsia="Calibri" w:hAnsi="Times New Roman" w:cs="Times New Roman"/>
          <w:bCs/>
          <w:sz w:val="26"/>
          <w:szCs w:val="26"/>
        </w:rPr>
        <w:t>е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сооружени</w:t>
      </w:r>
      <w:r w:rsidR="00CD26B3">
        <w:rPr>
          <w:rFonts w:ascii="Times New Roman" w:eastAsia="Calibri" w:hAnsi="Times New Roman" w:cs="Times New Roman"/>
          <w:bCs/>
          <w:sz w:val="26"/>
          <w:szCs w:val="26"/>
        </w:rPr>
        <w:t>я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елезногорска </w:t>
      </w:r>
      <w:r w:rsidR="00CD26B3">
        <w:rPr>
          <w:rFonts w:ascii="Times New Roman" w:eastAsia="Calibri" w:hAnsi="Times New Roman" w:cs="Times New Roman"/>
          <w:bCs/>
          <w:sz w:val="26"/>
          <w:szCs w:val="26"/>
        </w:rPr>
        <w:t>работают с неполной загрузкой. Д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ля полной загрузки городских очистных сооружений и снижения стоимости очистки сточных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вод</w:t>
      </w:r>
      <w:r w:rsidR="00CD26B3">
        <w:rPr>
          <w:rFonts w:ascii="Times New Roman" w:eastAsia="Calibri" w:hAnsi="Times New Roman" w:cs="Times New Roman"/>
          <w:bCs/>
          <w:sz w:val="26"/>
          <w:szCs w:val="26"/>
        </w:rPr>
        <w:t xml:space="preserve"> необходимо выполнить строительство напорного коллектора от </w:t>
      </w:r>
      <w:proofErr w:type="spellStart"/>
      <w:r w:rsidR="00CD26B3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gramStart"/>
      <w:r w:rsidR="00CD26B3">
        <w:rPr>
          <w:rFonts w:ascii="Times New Roman" w:eastAsia="Calibri" w:hAnsi="Times New Roman" w:cs="Times New Roman"/>
          <w:bCs/>
          <w:sz w:val="26"/>
          <w:szCs w:val="26"/>
        </w:rPr>
        <w:t>.П</w:t>
      </w:r>
      <w:proofErr w:type="gramEnd"/>
      <w:r w:rsidR="00CD26B3">
        <w:rPr>
          <w:rFonts w:ascii="Times New Roman" w:eastAsia="Calibri" w:hAnsi="Times New Roman" w:cs="Times New Roman"/>
          <w:bCs/>
          <w:sz w:val="26"/>
          <w:szCs w:val="26"/>
        </w:rPr>
        <w:t>ервомайский</w:t>
      </w:r>
      <w:proofErr w:type="spellEnd"/>
      <w:r w:rsidR="00CD26B3">
        <w:rPr>
          <w:rFonts w:ascii="Times New Roman" w:eastAsia="Calibri" w:hAnsi="Times New Roman" w:cs="Times New Roman"/>
          <w:bCs/>
          <w:sz w:val="26"/>
          <w:szCs w:val="26"/>
        </w:rPr>
        <w:t xml:space="preserve"> до существующего напорного коллектора в районе </w:t>
      </w:r>
      <w:proofErr w:type="spellStart"/>
      <w:r w:rsidR="00CD26B3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="00CD26B3">
        <w:rPr>
          <w:rFonts w:ascii="Times New Roman" w:eastAsia="Calibri" w:hAnsi="Times New Roman" w:cs="Times New Roman"/>
          <w:bCs/>
          <w:sz w:val="26"/>
          <w:szCs w:val="26"/>
        </w:rPr>
        <w:t xml:space="preserve">. Заозерный.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r w:rsidRPr="00C70E78">
        <w:rPr>
          <w:sz w:val="26"/>
          <w:szCs w:val="26"/>
        </w:rPr>
        <w:t>нитрит-иону</w:t>
      </w:r>
      <w:proofErr w:type="spell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</w:t>
      </w:r>
      <w:r w:rsidR="00425D49">
        <w:rPr>
          <w:rFonts w:ascii="Times New Roman" w:eastAsia="Calibri" w:hAnsi="Times New Roman" w:cs="Times New Roman"/>
          <w:sz w:val="26"/>
          <w:szCs w:val="26"/>
        </w:rPr>
        <w:t>2</w:t>
      </w:r>
      <w:r w:rsidR="000222C8">
        <w:rPr>
          <w:rFonts w:ascii="Times New Roman" w:eastAsia="Calibri" w:hAnsi="Times New Roman" w:cs="Times New Roman"/>
          <w:sz w:val="26"/>
          <w:szCs w:val="26"/>
        </w:rPr>
        <w:t>1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водопроводных сетей составил </w:t>
      </w:r>
      <w:r w:rsidR="000222C8">
        <w:rPr>
          <w:rFonts w:ascii="Times New Roman" w:eastAsia="Calibri" w:hAnsi="Times New Roman" w:cs="Times New Roman"/>
          <w:sz w:val="26"/>
          <w:szCs w:val="26"/>
        </w:rPr>
        <w:t>2,3</w:t>
      </w:r>
      <w:r w:rsidR="00425D49">
        <w:rPr>
          <w:rFonts w:ascii="Times New Roman" w:eastAsia="Calibri" w:hAnsi="Times New Roman" w:cs="Times New Roman"/>
          <w:sz w:val="26"/>
          <w:szCs w:val="26"/>
        </w:rPr>
        <w:t xml:space="preserve"> (20</w:t>
      </w:r>
      <w:r w:rsidR="000222C8">
        <w:rPr>
          <w:rFonts w:ascii="Times New Roman" w:eastAsia="Calibri" w:hAnsi="Times New Roman" w:cs="Times New Roman"/>
          <w:sz w:val="26"/>
          <w:szCs w:val="26"/>
        </w:rPr>
        <w:t>20</w:t>
      </w:r>
      <w:r w:rsidR="00425D49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0222C8">
        <w:rPr>
          <w:rFonts w:ascii="Times New Roman" w:eastAsia="Calibri" w:hAnsi="Times New Roman" w:cs="Times New Roman"/>
          <w:sz w:val="26"/>
          <w:szCs w:val="26"/>
        </w:rPr>
        <w:t>3,8</w:t>
      </w:r>
      <w:r w:rsidR="00B81186">
        <w:rPr>
          <w:rFonts w:ascii="Times New Roman" w:eastAsia="Calibri" w:hAnsi="Times New Roman" w:cs="Times New Roman"/>
          <w:sz w:val="26"/>
          <w:szCs w:val="26"/>
        </w:rPr>
        <w:t>)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0222C8">
        <w:rPr>
          <w:rFonts w:ascii="Times New Roman" w:eastAsia="Calibri" w:hAnsi="Times New Roman" w:cs="Times New Roman"/>
          <w:sz w:val="26"/>
          <w:szCs w:val="26"/>
        </w:rPr>
        <w:t>0,44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Теплоснабжение объектов жилищного фонда, соцкультбыта и промышленной зоны города Железногорск осуществляется по магистральным и распределительным тепловым сетям. Основным источником тепловой энергии в зимний период 20</w:t>
      </w:r>
      <w:r w:rsidR="00CD26B3">
        <w:rPr>
          <w:rFonts w:ascii="Times New Roman" w:hAnsi="Times New Roman" w:cs="Times New Roman"/>
          <w:sz w:val="26"/>
          <w:szCs w:val="26"/>
        </w:rPr>
        <w:t>21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 w:rsidR="00425D49">
        <w:rPr>
          <w:rFonts w:ascii="Times New Roman" w:hAnsi="Times New Roman" w:cs="Times New Roman"/>
          <w:sz w:val="26"/>
          <w:szCs w:val="26"/>
        </w:rPr>
        <w:t>2</w:t>
      </w:r>
      <w:r w:rsidR="00CD26B3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>Ц и пиковая котельная</w:t>
      </w:r>
      <w:r w:rsidR="00C32AD0">
        <w:rPr>
          <w:rFonts w:ascii="Times New Roman" w:hAnsi="Times New Roman" w:cs="Times New Roman"/>
          <w:sz w:val="26"/>
          <w:szCs w:val="26"/>
        </w:rPr>
        <w:t xml:space="preserve">, находящаяся в </w:t>
      </w:r>
      <w:r w:rsidR="00425D49">
        <w:rPr>
          <w:rFonts w:ascii="Times New Roman" w:hAnsi="Times New Roman" w:cs="Times New Roman"/>
          <w:sz w:val="26"/>
          <w:szCs w:val="26"/>
        </w:rPr>
        <w:t>собственности АО «КРАСЭКО»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CD26B3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  <w:r w:rsidR="00CD26B3">
        <w:rPr>
          <w:rFonts w:ascii="Times New Roman" w:hAnsi="Times New Roman" w:cs="Times New Roman"/>
          <w:sz w:val="26"/>
          <w:szCs w:val="26"/>
        </w:rPr>
        <w:t>находящиеся на обслуживании в ООО «КРАСЭКО-ЭЛЕКТРО».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</w:t>
      </w:r>
      <w:r w:rsidR="00425D49">
        <w:rPr>
          <w:rFonts w:ascii="Times New Roman" w:hAnsi="Times New Roman" w:cs="Times New Roman"/>
          <w:sz w:val="26"/>
          <w:szCs w:val="26"/>
        </w:rPr>
        <w:t>2</w:t>
      </w:r>
      <w:r w:rsidR="00F45D35">
        <w:rPr>
          <w:rFonts w:ascii="Times New Roman" w:hAnsi="Times New Roman" w:cs="Times New Roman"/>
          <w:sz w:val="26"/>
          <w:szCs w:val="26"/>
        </w:rPr>
        <w:t>1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</w:t>
      </w:r>
      <w:r w:rsidR="001A56B8">
        <w:rPr>
          <w:rFonts w:ascii="Times New Roman" w:hAnsi="Times New Roman" w:cs="Times New Roman"/>
          <w:sz w:val="26"/>
          <w:szCs w:val="26"/>
        </w:rPr>
        <w:t>0,</w:t>
      </w:r>
      <w:r w:rsidR="00F45D35">
        <w:rPr>
          <w:rFonts w:ascii="Times New Roman" w:hAnsi="Times New Roman" w:cs="Times New Roman"/>
          <w:sz w:val="26"/>
          <w:szCs w:val="26"/>
        </w:rPr>
        <w:t>0</w:t>
      </w:r>
      <w:r w:rsidRPr="00C70E7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</w:t>
      </w:r>
      <w:r w:rsidR="00171EAF">
        <w:rPr>
          <w:sz w:val="26"/>
          <w:szCs w:val="26"/>
        </w:rPr>
        <w:t>202</w:t>
      </w:r>
      <w:r w:rsidR="001D06A5">
        <w:rPr>
          <w:sz w:val="26"/>
          <w:szCs w:val="26"/>
        </w:rPr>
        <w:t>2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1D06A5">
        <w:rPr>
          <w:sz w:val="26"/>
          <w:szCs w:val="26"/>
        </w:rPr>
        <w:t>2417,17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1D06A5">
        <w:rPr>
          <w:sz w:val="26"/>
          <w:szCs w:val="26"/>
        </w:rPr>
        <w:t>7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</w:t>
      </w:r>
      <w:r w:rsidR="00171EAF">
        <w:rPr>
          <w:sz w:val="26"/>
          <w:szCs w:val="26"/>
        </w:rPr>
        <w:t>202</w:t>
      </w:r>
      <w:r w:rsidR="001D06A5">
        <w:rPr>
          <w:sz w:val="26"/>
          <w:szCs w:val="26"/>
        </w:rPr>
        <w:t>2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425D49">
        <w:rPr>
          <w:sz w:val="26"/>
          <w:szCs w:val="26"/>
        </w:rPr>
        <w:t>2</w:t>
      </w:r>
      <w:r w:rsidR="00810FB2">
        <w:rPr>
          <w:sz w:val="26"/>
          <w:szCs w:val="26"/>
        </w:rPr>
        <w:t>725</w:t>
      </w:r>
      <w:r w:rsidRPr="00C70E78">
        <w:rPr>
          <w:sz w:val="26"/>
          <w:szCs w:val="26"/>
        </w:rPr>
        <w:t xml:space="preserve"> жилых дом</w:t>
      </w:r>
      <w:r w:rsidR="001A56B8">
        <w:rPr>
          <w:sz w:val="26"/>
          <w:szCs w:val="26"/>
        </w:rPr>
        <w:t>ов</w:t>
      </w:r>
      <w:r w:rsidRPr="00C70E78">
        <w:rPr>
          <w:sz w:val="26"/>
          <w:szCs w:val="26"/>
        </w:rPr>
        <w:t xml:space="preserve">, из них </w:t>
      </w:r>
      <w:r w:rsidR="001A56B8">
        <w:rPr>
          <w:sz w:val="26"/>
          <w:szCs w:val="26"/>
        </w:rPr>
        <w:t>722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="001A56B8">
        <w:rPr>
          <w:sz w:val="26"/>
          <w:szCs w:val="26"/>
        </w:rPr>
        <w:t>,</w:t>
      </w:r>
      <w:r w:rsidRPr="00C70E78">
        <w:rPr>
          <w:sz w:val="26"/>
          <w:szCs w:val="26"/>
        </w:rPr>
        <w:t xml:space="preserve"> </w:t>
      </w:r>
      <w:r w:rsidR="001A56B8">
        <w:rPr>
          <w:sz w:val="26"/>
          <w:szCs w:val="26"/>
        </w:rPr>
        <w:t>311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="001A56B8">
        <w:rPr>
          <w:sz w:val="26"/>
          <w:szCs w:val="26"/>
        </w:rPr>
        <w:t xml:space="preserve"> блокированной застройки</w:t>
      </w:r>
      <w:r w:rsidRPr="00C70E78">
        <w:rPr>
          <w:sz w:val="26"/>
          <w:szCs w:val="26"/>
        </w:rPr>
        <w:t xml:space="preserve">, это </w:t>
      </w:r>
      <w:r w:rsidR="00B81186">
        <w:rPr>
          <w:sz w:val="26"/>
          <w:szCs w:val="26"/>
        </w:rPr>
        <w:t>41</w:t>
      </w:r>
      <w:r w:rsidR="001A56B8">
        <w:rPr>
          <w:sz w:val="26"/>
          <w:szCs w:val="26"/>
        </w:rPr>
        <w:t>4</w:t>
      </w:r>
      <w:r w:rsidR="004E1767">
        <w:rPr>
          <w:sz w:val="26"/>
          <w:szCs w:val="26"/>
        </w:rPr>
        <w:t xml:space="preserve">09 </w:t>
      </w:r>
      <w:r w:rsidRPr="00C70E78">
        <w:rPr>
          <w:sz w:val="26"/>
          <w:szCs w:val="26"/>
        </w:rPr>
        <w:t xml:space="preserve">квартир, жилая площадь которых  составляет </w:t>
      </w:r>
      <w:r w:rsidR="00FD1B73">
        <w:rPr>
          <w:sz w:val="26"/>
          <w:szCs w:val="26"/>
        </w:rPr>
        <w:t>2127,0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FD1B73">
        <w:rPr>
          <w:sz w:val="26"/>
          <w:szCs w:val="26"/>
        </w:rPr>
        <w:t>39</w:t>
      </w:r>
      <w:r w:rsidR="004E1767">
        <w:rPr>
          <w:sz w:val="26"/>
          <w:szCs w:val="26"/>
        </w:rPr>
        <w:t>2</w:t>
      </w:r>
      <w:r w:rsidR="00810FB2">
        <w:rPr>
          <w:sz w:val="26"/>
          <w:szCs w:val="26"/>
        </w:rPr>
        <w:t>61</w:t>
      </w:r>
      <w:r w:rsidRPr="00C70E78">
        <w:rPr>
          <w:sz w:val="26"/>
          <w:szCs w:val="26"/>
        </w:rPr>
        <w:t xml:space="preserve">  или </w:t>
      </w:r>
      <w:r w:rsidR="004E1767">
        <w:rPr>
          <w:sz w:val="26"/>
          <w:szCs w:val="26"/>
        </w:rPr>
        <w:t>94,</w:t>
      </w:r>
      <w:r w:rsidR="00810FB2">
        <w:rPr>
          <w:sz w:val="26"/>
          <w:szCs w:val="26"/>
        </w:rPr>
        <w:t>81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4E1767">
        <w:rPr>
          <w:sz w:val="26"/>
          <w:szCs w:val="26"/>
        </w:rPr>
        <w:t>95,</w:t>
      </w:r>
      <w:r w:rsidR="00810FB2">
        <w:rPr>
          <w:sz w:val="26"/>
          <w:szCs w:val="26"/>
        </w:rPr>
        <w:t>74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FD1B73">
        <w:rPr>
          <w:sz w:val="26"/>
          <w:szCs w:val="26"/>
        </w:rPr>
        <w:t>2,</w:t>
      </w:r>
      <w:r w:rsidR="00810FB2">
        <w:rPr>
          <w:sz w:val="26"/>
          <w:szCs w:val="26"/>
        </w:rPr>
        <w:t>54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FD1B73">
        <w:rPr>
          <w:sz w:val="26"/>
          <w:szCs w:val="26"/>
        </w:rPr>
        <w:t>1,</w:t>
      </w:r>
      <w:r w:rsidR="004E1767">
        <w:rPr>
          <w:sz w:val="26"/>
          <w:szCs w:val="26"/>
        </w:rPr>
        <w:t>72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lastRenderedPageBreak/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тепло-,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4E1767">
        <w:rPr>
          <w:sz w:val="26"/>
          <w:szCs w:val="26"/>
        </w:rPr>
        <w:t>Новый город Железногорск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Очаг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Жилищно-коммунальное управление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</w:t>
      </w:r>
      <w:r w:rsidRPr="00C70E78">
        <w:rPr>
          <w:sz w:val="26"/>
          <w:szCs w:val="26"/>
        </w:rPr>
        <w:lastRenderedPageBreak/>
        <w:t>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Железногорская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ЖЭК 26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Меридиан 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Моя крепость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Первомайский ЖЭК-7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Мирное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Флагман 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Наш надежный дом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Светлый город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</w:t>
      </w:r>
      <w:r w:rsidRPr="00C70E78">
        <w:rPr>
          <w:sz w:val="26"/>
          <w:szCs w:val="26"/>
        </w:rPr>
        <w:lastRenderedPageBreak/>
        <w:t>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Михайлов и 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Комфортное жилье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P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4E1767">
        <w:rPr>
          <w:sz w:val="26"/>
          <w:szCs w:val="26"/>
        </w:rPr>
        <w:t>УК Балтийская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</w:t>
      </w:r>
      <w:r>
        <w:rPr>
          <w:sz w:val="26"/>
          <w:szCs w:val="26"/>
        </w:rPr>
        <w:t>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</w:t>
      </w:r>
      <w:r w:rsidR="00CF04A5">
        <w:rPr>
          <w:sz w:val="26"/>
          <w:szCs w:val="26"/>
        </w:rPr>
        <w:t>ГОСЖИЛФОНД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FD1B73">
        <w:rPr>
          <w:sz w:val="26"/>
          <w:szCs w:val="26"/>
        </w:rPr>
        <w:t>Современник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 w:rsidR="00CF04A5">
        <w:rPr>
          <w:sz w:val="26"/>
          <w:szCs w:val="26"/>
        </w:rPr>
        <w:t>Альтаир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Сосновый бор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Востком</w:t>
      </w:r>
      <w:proofErr w:type="spellEnd"/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</w:t>
      </w:r>
      <w:r w:rsidRPr="00C70E78">
        <w:rPr>
          <w:sz w:val="26"/>
          <w:szCs w:val="26"/>
        </w:rPr>
        <w:lastRenderedPageBreak/>
        <w:t>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E1767" w:rsidRDefault="004E1767" w:rsidP="004E1767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 w:rsidR="00CF04A5">
        <w:rPr>
          <w:sz w:val="26"/>
          <w:szCs w:val="26"/>
        </w:rPr>
        <w:t>Победа плюс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E1767" w:rsidRPr="00CF04A5" w:rsidRDefault="00CF04A5" w:rsidP="00CF04A5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Наш Железногорский двор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3699E" w:rsidRPr="00C70E78" w:rsidRDefault="00340432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 «КРАСЭКО-ЭЛЕКТРО</w:t>
      </w:r>
      <w:r w:rsidR="0043699E"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 </w:t>
      </w:r>
      <w:r w:rsidR="00CF04A5">
        <w:rPr>
          <w:sz w:val="26"/>
          <w:szCs w:val="26"/>
        </w:rPr>
        <w:t>7</w:t>
      </w:r>
      <w:r w:rsidR="00913486">
        <w:rPr>
          <w:sz w:val="26"/>
          <w:szCs w:val="26"/>
        </w:rPr>
        <w:t>0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на территории ЗАТО Железногорск.</w:t>
      </w:r>
    </w:p>
    <w:p w:rsidR="004A0E89" w:rsidRPr="00C70E78" w:rsidRDefault="00913486" w:rsidP="0091348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территории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ЗАТО Железногорск </w:t>
      </w:r>
      <w:r>
        <w:rPr>
          <w:rFonts w:ascii="Times New Roman" w:hAnsi="Times New Roman" w:cs="Times New Roman"/>
          <w:bCs/>
          <w:sz w:val="26"/>
          <w:szCs w:val="26"/>
        </w:rPr>
        <w:t>реализуется программа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</w:t>
      </w:r>
      <w:proofErr w:type="spellStart"/>
      <w:r w:rsidR="0043699E"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капитального ремонта). </w:t>
      </w:r>
    </w:p>
    <w:p w:rsidR="0043699E" w:rsidRPr="00C70E78" w:rsidRDefault="00913486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>едеральн</w:t>
      </w:r>
      <w:r>
        <w:rPr>
          <w:rFonts w:ascii="Times New Roman" w:hAnsi="Times New Roman" w:cs="Times New Roman"/>
          <w:sz w:val="26"/>
          <w:szCs w:val="26"/>
        </w:rPr>
        <w:t>ым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все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многоквартирны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жилы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 xml:space="preserve">а должны быть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обеспчены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В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CA62F8">
        <w:rPr>
          <w:rFonts w:ascii="Times New Roman" w:hAnsi="Times New Roman" w:cs="Times New Roman"/>
          <w:sz w:val="26"/>
          <w:szCs w:val="26"/>
        </w:rPr>
        <w:t>3</w:t>
      </w:r>
      <w:r w:rsidR="00064E38">
        <w:rPr>
          <w:rFonts w:ascii="Times New Roman" w:hAnsi="Times New Roman" w:cs="Times New Roman"/>
          <w:sz w:val="26"/>
          <w:szCs w:val="26"/>
        </w:rPr>
        <w:t>-202</w:t>
      </w:r>
      <w:r w:rsidR="00CA62F8">
        <w:rPr>
          <w:rFonts w:ascii="Times New Roman" w:hAnsi="Times New Roman" w:cs="Times New Roman"/>
          <w:sz w:val="26"/>
          <w:szCs w:val="26"/>
        </w:rPr>
        <w:t>5</w:t>
      </w:r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75F9"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необходимо провести работу по установке </w:t>
      </w:r>
      <w:proofErr w:type="spellStart"/>
      <w:r w:rsidR="00064E3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064E38">
        <w:rPr>
          <w:rFonts w:ascii="Times New Roman" w:hAnsi="Times New Roman" w:cs="Times New Roman"/>
          <w:sz w:val="26"/>
          <w:szCs w:val="26"/>
        </w:rPr>
        <w:t xml:space="preserve">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городе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171EAF">
        <w:rPr>
          <w:rFonts w:ascii="Times New Roman" w:hAnsi="Times New Roman" w:cs="Times New Roman"/>
          <w:sz w:val="26"/>
          <w:szCs w:val="26"/>
        </w:rPr>
        <w:t>медленно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</w:t>
      </w:r>
      <w:r w:rsidR="00B375F9">
        <w:rPr>
          <w:rFonts w:ascii="Times New Roman" w:hAnsi="Times New Roman" w:cs="Times New Roman"/>
          <w:sz w:val="26"/>
          <w:szCs w:val="26"/>
        </w:rPr>
        <w:t>1,</w:t>
      </w:r>
      <w:r w:rsidR="00913486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CD26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A62F8" w:rsidRPr="00054906" w:rsidRDefault="00CA62F8" w:rsidP="00CD26B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54906">
        <w:rPr>
          <w:rFonts w:ascii="Times New Roman" w:hAnsi="Times New Roman" w:cs="Times New Roman"/>
          <w:sz w:val="26"/>
          <w:szCs w:val="26"/>
        </w:rPr>
        <w:lastRenderedPageBreak/>
        <w:t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постановлением Администрации ЗАТО                                   г. Железногорск от 09.09.2016 № 1480 «</w:t>
      </w:r>
      <w:r w:rsidRPr="00054906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Pr="00054906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Pr="00054906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Pr="00054906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4906">
        <w:rPr>
          <w:rFonts w:ascii="Times New Roman" w:hAnsi="Times New Roman" w:cs="Times New Roman"/>
          <w:sz w:val="26"/>
          <w:szCs w:val="26"/>
        </w:rPr>
        <w:t>».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05490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CA62F8" w:rsidRPr="00054906" w:rsidRDefault="00CA62F8" w:rsidP="00CA62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4906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 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054906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054906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дневные сеансы в муниципальных банях с целью обеспечения  посещения бани в дневное время. Разница между экономически обоснованным тарифом и  стоимостью посещения бани в дневное время возмещается предприятию МП «Нега»  в виде субсидии, из местного бюджета.</w:t>
      </w:r>
    </w:p>
    <w:p w:rsidR="00CA62F8" w:rsidRPr="00054906" w:rsidRDefault="00CA62F8" w:rsidP="00CA62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0E89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</w:t>
      </w:r>
      <w:r w:rsidR="00F44792"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</w:t>
      </w:r>
    </w:p>
    <w:p w:rsidR="00F44792" w:rsidRDefault="00F44792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499B" w:rsidRPr="00C70E78" w:rsidRDefault="0002499B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</w:t>
      </w:r>
      <w:r w:rsidR="00B375F9">
        <w:rPr>
          <w:rFonts w:ascii="Times New Roman" w:hAnsi="Times New Roman" w:cs="Times New Roman"/>
          <w:sz w:val="26"/>
          <w:szCs w:val="26"/>
        </w:rPr>
        <w:t>2</w:t>
      </w:r>
      <w:r w:rsidR="00913486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913486">
        <w:rPr>
          <w:rFonts w:ascii="Times New Roman" w:hAnsi="Times New Roman" w:cs="Times New Roman"/>
          <w:sz w:val="26"/>
          <w:szCs w:val="26"/>
        </w:rPr>
        <w:t>4</w:t>
      </w:r>
      <w:r w:rsidR="0002499B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рамках данного приоритета будут реализованы меры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 xml:space="preserve">, обеспечению равных условий для всех управляющих </w:t>
      </w:r>
      <w:r w:rsidR="00344A39">
        <w:rPr>
          <w:sz w:val="26"/>
          <w:szCs w:val="26"/>
        </w:rPr>
        <w:lastRenderedPageBreak/>
        <w:t>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  <w:proofErr w:type="gramEnd"/>
    </w:p>
    <w:p w:rsidR="00CA62F8" w:rsidRPr="00C70E78" w:rsidRDefault="00CA62F8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0804B8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CA62F8" w:rsidRPr="00054906" w:rsidRDefault="00CA62F8" w:rsidP="00CA62F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4906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05490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A62F8" w:rsidRPr="00054906" w:rsidRDefault="00CA62F8" w:rsidP="00CA62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4906">
        <w:rPr>
          <w:rFonts w:ascii="Times New Roman" w:hAnsi="Times New Roman" w:cs="Times New Roman"/>
          <w:sz w:val="26"/>
          <w:szCs w:val="26"/>
        </w:rPr>
        <w:t xml:space="preserve">1. Обеспечение благоприятных и безопасных условий проживания граждан и обеспечение доступности предоставляемых социальных и коммунальных услуг на </w:t>
      </w:r>
      <w:r w:rsidRPr="00054906">
        <w:rPr>
          <w:rFonts w:ascii="Times New Roman" w:hAnsi="Times New Roman" w:cs="Times New Roman"/>
          <w:sz w:val="26"/>
          <w:szCs w:val="26"/>
        </w:rPr>
        <w:lastRenderedPageBreak/>
        <w:t>территории ЗАТО Железногорск;</w:t>
      </w:r>
    </w:p>
    <w:p w:rsidR="00671A9F" w:rsidRDefault="00CA62F8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4906">
        <w:rPr>
          <w:rFonts w:ascii="Times New Roman" w:hAnsi="Times New Roman" w:cs="Times New Roman"/>
          <w:sz w:val="26"/>
          <w:szCs w:val="26"/>
        </w:rPr>
        <w:t xml:space="preserve">2. Повышение энергосбережения и </w:t>
      </w:r>
      <w:proofErr w:type="spellStart"/>
      <w:r w:rsidRPr="00054906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054906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Железногорск;</w:t>
      </w:r>
    </w:p>
    <w:p w:rsidR="00440748" w:rsidRPr="00C70E78" w:rsidRDefault="00440748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D26B3" w:rsidRDefault="00CD26B3" w:rsidP="00F876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CD26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конечных результатов </w:t>
      </w:r>
      <w:r w:rsidR="00F44792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программы, характеризующих целевое состояние (изменение состояния) уровня</w:t>
      </w:r>
      <w:r w:rsidR="00F44792">
        <w:rPr>
          <w:rFonts w:ascii="Times New Roman" w:hAnsi="Times New Roman" w:cs="Times New Roman"/>
          <w:sz w:val="26"/>
          <w:szCs w:val="26"/>
        </w:rPr>
        <w:t xml:space="preserve"> и качества жизни населения, социально-экономическое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  <w:r w:rsidR="00F44792">
        <w:rPr>
          <w:rFonts w:ascii="Times New Roman" w:hAnsi="Times New Roman" w:cs="Times New Roman"/>
          <w:sz w:val="26"/>
          <w:szCs w:val="26"/>
        </w:rPr>
        <w:t xml:space="preserve"> муниципального управления, экономики, степени реализации других общественно значимых инт</w:t>
      </w:r>
      <w:r w:rsidR="00EE6465">
        <w:rPr>
          <w:rFonts w:ascii="Times New Roman" w:hAnsi="Times New Roman" w:cs="Times New Roman"/>
          <w:sz w:val="26"/>
          <w:szCs w:val="26"/>
        </w:rPr>
        <w:t>е</w:t>
      </w:r>
      <w:r w:rsidR="00F44792">
        <w:rPr>
          <w:rFonts w:ascii="Times New Roman" w:hAnsi="Times New Roman" w:cs="Times New Roman"/>
          <w:sz w:val="26"/>
          <w:szCs w:val="26"/>
        </w:rPr>
        <w:t>ресо</w:t>
      </w:r>
      <w:r w:rsidR="00EE6465">
        <w:rPr>
          <w:rFonts w:ascii="Times New Roman" w:hAnsi="Times New Roman" w:cs="Times New Roman"/>
          <w:sz w:val="26"/>
          <w:szCs w:val="26"/>
        </w:rPr>
        <w:t>в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реализации подпрограммы к </w:t>
      </w:r>
      <w:r w:rsidR="00171EAF">
        <w:rPr>
          <w:sz w:val="26"/>
          <w:szCs w:val="26"/>
        </w:rPr>
        <w:t>202</w:t>
      </w:r>
      <w:r w:rsidR="00F876E0">
        <w:rPr>
          <w:sz w:val="26"/>
          <w:szCs w:val="26"/>
        </w:rPr>
        <w:t>5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утверждение программ</w:t>
      </w:r>
      <w:r w:rsidR="000804B8">
        <w:rPr>
          <w:sz w:val="26"/>
          <w:szCs w:val="26"/>
        </w:rPr>
        <w:t>ы</w:t>
      </w:r>
      <w:r w:rsidRPr="00C70E78">
        <w:rPr>
          <w:sz w:val="26"/>
          <w:szCs w:val="26"/>
        </w:rPr>
        <w:t xml:space="preserve">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сокращение объемов жилищного фонда, требующего проведения капитального ремонта;</w:t>
      </w:r>
    </w:p>
    <w:p w:rsidR="00671A9F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</w:t>
      </w:r>
      <w:r w:rsidR="00CA62F8">
        <w:rPr>
          <w:sz w:val="26"/>
          <w:szCs w:val="26"/>
        </w:rPr>
        <w:t>г;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</w:t>
      </w:r>
      <w:r w:rsidRPr="00C70E78">
        <w:rPr>
          <w:sz w:val="26"/>
          <w:szCs w:val="26"/>
        </w:rPr>
        <w:lastRenderedPageBreak/>
        <w:t>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5E28B9" w:rsidRPr="00C70E78" w:rsidRDefault="00EE6465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BC04F7">
        <w:rPr>
          <w:rFonts w:ascii="Times New Roman" w:hAnsi="Times New Roman" w:cs="Times New Roman"/>
          <w:sz w:val="26"/>
          <w:szCs w:val="26"/>
        </w:rPr>
        <w:t>две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D11D75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D11D75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BC04F7">
        <w:rPr>
          <w:rFonts w:ascii="Times New Roman" w:hAnsi="Times New Roman" w:cs="Times New Roman"/>
          <w:sz w:val="26"/>
          <w:szCs w:val="26"/>
          <w:lang w:eastAsia="ru-RU"/>
        </w:rPr>
        <w:t xml:space="preserve">.2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BC04F7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«Развитие объектов социальной сферы</w:t>
      </w:r>
      <w:r w:rsidR="007D70DF"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BC04F7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1144" w:rsidRPr="00C70E78">
        <w:rPr>
          <w:rFonts w:ascii="Times New Roman" w:hAnsi="Times New Roman" w:cs="Times New Roman"/>
          <w:sz w:val="26"/>
          <w:szCs w:val="26"/>
        </w:rPr>
        <w:t>. 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EE6465" w:rsidRPr="00C70E78" w:rsidRDefault="00EE6465" w:rsidP="00EE64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Муниципальная программа и  подпрограммы реализуется в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F876E0">
        <w:rPr>
          <w:rFonts w:ascii="Times New Roman" w:hAnsi="Times New Roman" w:cs="Times New Roman"/>
          <w:sz w:val="26"/>
          <w:szCs w:val="26"/>
        </w:rPr>
        <w:t>3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F876E0"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EE6465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. Информация о </w:t>
      </w:r>
      <w:r>
        <w:rPr>
          <w:rFonts w:ascii="Times New Roman" w:hAnsi="Times New Roman" w:cs="Times New Roman"/>
          <w:sz w:val="26"/>
          <w:szCs w:val="26"/>
        </w:rPr>
        <w:t>ресурсном обеспечении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капитальный ремонт  муниципальных объектов коммунальной инфраструктуры;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модернизацию объектов энергетического комплекса;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CA62F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</w:t>
      </w:r>
      <w:r w:rsidR="00CA62F8">
        <w:rPr>
          <w:rFonts w:ascii="Times New Roman" w:hAnsi="Times New Roman" w:cs="Times New Roman"/>
          <w:sz w:val="26"/>
          <w:szCs w:val="26"/>
        </w:rPr>
        <w:t>х видов энергетических ресурсов;</w:t>
      </w:r>
    </w:p>
    <w:p w:rsidR="00564BD0" w:rsidRDefault="0063769F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564BD0" w:rsidRDefault="00564BD0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64BD0">
        <w:rPr>
          <w:rFonts w:ascii="Times New Roman" w:hAnsi="Times New Roman" w:cs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 w:cs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64BD0">
        <w:rPr>
          <w:rFonts w:ascii="Times New Roman" w:hAnsi="Times New Roman" w:cs="Times New Roman"/>
          <w:sz w:val="26"/>
          <w:szCs w:val="26"/>
        </w:rPr>
        <w:t xml:space="preserve"> № </w:t>
      </w:r>
      <w:r w:rsidR="00D11D75">
        <w:rPr>
          <w:rFonts w:ascii="Times New Roman" w:hAnsi="Times New Roman" w:cs="Times New Roman"/>
          <w:sz w:val="26"/>
          <w:szCs w:val="26"/>
        </w:rPr>
        <w:t>1</w:t>
      </w:r>
      <w:r w:rsidRPr="00564BD0">
        <w:rPr>
          <w:rFonts w:ascii="Times New Roman" w:hAnsi="Times New Roman" w:cs="Times New Roman"/>
          <w:sz w:val="26"/>
          <w:szCs w:val="26"/>
        </w:rPr>
        <w:t xml:space="preserve"> к настояще</w:t>
      </w:r>
      <w:r>
        <w:rPr>
          <w:rFonts w:ascii="Times New Roman" w:hAnsi="Times New Roman" w:cs="Times New Roman"/>
          <w:sz w:val="26"/>
          <w:szCs w:val="26"/>
        </w:rPr>
        <w:t>й Программе.</w:t>
      </w:r>
    </w:p>
    <w:p w:rsidR="00CA62F8" w:rsidRDefault="00D77440" w:rsidP="00F876E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hyperlink r:id="rId8" w:history="1">
        <w:r w:rsidR="00564BD0" w:rsidRPr="00564BD0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="00564BD0" w:rsidRPr="00564BD0">
        <w:rPr>
          <w:rFonts w:ascii="Times New Roman" w:hAnsi="Times New Roman" w:cs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</w:t>
      </w:r>
      <w:r w:rsidR="00D11D75">
        <w:rPr>
          <w:rFonts w:ascii="Times New Roman" w:hAnsi="Times New Roman" w:cs="Times New Roman"/>
          <w:sz w:val="26"/>
          <w:szCs w:val="26"/>
        </w:rPr>
        <w:t>2</w:t>
      </w:r>
      <w:r w:rsidR="00564BD0" w:rsidRPr="00564BD0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D11D75" w:rsidRPr="00F876E0" w:rsidRDefault="00D11D75" w:rsidP="00F876E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A62F8" w:rsidRPr="00054906" w:rsidRDefault="00CA62F8" w:rsidP="00CA62F8">
      <w:pPr>
        <w:pStyle w:val="2"/>
        <w:jc w:val="center"/>
        <w:rPr>
          <w:color w:val="000000" w:themeColor="text1"/>
          <w:sz w:val="26"/>
          <w:szCs w:val="26"/>
          <w:u w:val="none"/>
        </w:rPr>
      </w:pPr>
      <w:r w:rsidRPr="00054906">
        <w:rPr>
          <w:color w:val="000000" w:themeColor="text1"/>
          <w:sz w:val="26"/>
          <w:szCs w:val="26"/>
          <w:u w:val="none"/>
        </w:rPr>
        <w:t>7. Информация о сводных показателях муниципальных заданий</w:t>
      </w:r>
    </w:p>
    <w:p w:rsidR="00CA62F8" w:rsidRPr="00054906" w:rsidRDefault="00CA62F8" w:rsidP="00CA62F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054906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054906">
        <w:rPr>
          <w:rFonts w:ascii="Times New Roman" w:hAnsi="Times New Roman"/>
          <w:sz w:val="26"/>
          <w:szCs w:val="26"/>
        </w:rPr>
        <w:t>рамках</w:t>
      </w:r>
      <w:proofErr w:type="gramEnd"/>
      <w:r w:rsidRPr="00054906">
        <w:rPr>
          <w:rFonts w:ascii="Times New Roman" w:hAnsi="Times New Roman"/>
          <w:sz w:val="26"/>
          <w:szCs w:val="26"/>
        </w:rPr>
        <w:t xml:space="preserve"> муниципального задания по настоящей Программе реализуются мероприятия, связанные с содержанием кладбищ ЗАТО Железногорск. Сводные показатели муниципального задания приведены в приложении № </w:t>
      </w:r>
      <w:r w:rsidR="00D11D75">
        <w:rPr>
          <w:rFonts w:ascii="Times New Roman" w:hAnsi="Times New Roman"/>
          <w:sz w:val="26"/>
          <w:szCs w:val="26"/>
        </w:rPr>
        <w:t>3</w:t>
      </w:r>
      <w:r w:rsidRPr="00054906">
        <w:rPr>
          <w:rFonts w:ascii="Times New Roman" w:hAnsi="Times New Roman"/>
          <w:sz w:val="26"/>
          <w:szCs w:val="26"/>
        </w:rPr>
        <w:t xml:space="preserve"> к настоящей Программе.</w:t>
      </w:r>
    </w:p>
    <w:p w:rsidR="00564BD0" w:rsidRDefault="00F876E0" w:rsidP="00564BD0">
      <w:pPr>
        <w:widowControl w:val="0"/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6D45" w:rsidRPr="009543D0" w:rsidRDefault="000B6D45" w:rsidP="001F7D06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9543D0">
        <w:rPr>
          <w:rFonts w:ascii="Times New Roman" w:hAnsi="Times New Roman" w:cs="Times New Roman"/>
          <w:sz w:val="26"/>
          <w:szCs w:val="26"/>
        </w:rPr>
        <w:t xml:space="preserve">Руководитель УГХ                                                               </w:t>
      </w:r>
      <w:r w:rsidR="00171EAF">
        <w:rPr>
          <w:rFonts w:ascii="Times New Roman" w:hAnsi="Times New Roman" w:cs="Times New Roman"/>
          <w:sz w:val="26"/>
          <w:szCs w:val="26"/>
        </w:rPr>
        <w:t>А.Ф.Тельманова</w:t>
      </w:r>
    </w:p>
    <w:sectPr w:rsidR="000B6D45" w:rsidRPr="009543D0" w:rsidSect="00F876E0">
      <w:headerReference w:type="default" r:id="rId9"/>
      <w:pgSz w:w="11905" w:h="16838"/>
      <w:pgMar w:top="851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D2" w:rsidRDefault="005048D2" w:rsidP="00176254">
      <w:pPr>
        <w:spacing w:after="0" w:line="240" w:lineRule="auto"/>
      </w:pPr>
      <w:r>
        <w:separator/>
      </w:r>
    </w:p>
  </w:endnote>
  <w:endnote w:type="continuationSeparator" w:id="0">
    <w:p w:rsidR="005048D2" w:rsidRDefault="005048D2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D2" w:rsidRDefault="005048D2" w:rsidP="00176254">
      <w:pPr>
        <w:spacing w:after="0" w:line="240" w:lineRule="auto"/>
      </w:pPr>
      <w:r>
        <w:separator/>
      </w:r>
    </w:p>
  </w:footnote>
  <w:footnote w:type="continuationSeparator" w:id="0">
    <w:p w:rsidR="005048D2" w:rsidRDefault="005048D2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425D49" w:rsidRDefault="00D77440">
        <w:pPr>
          <w:pStyle w:val="af"/>
          <w:jc w:val="center"/>
        </w:pPr>
        <w:fldSimple w:instr=" PAGE   \* MERGEFORMAT ">
          <w:r w:rsidR="0007774C">
            <w:rPr>
              <w:noProof/>
            </w:rPr>
            <w:t>18</w:t>
          </w:r>
        </w:fldSimple>
      </w:p>
    </w:sdtContent>
  </w:sdt>
  <w:p w:rsidR="00425D49" w:rsidRDefault="00425D4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22C8"/>
    <w:rsid w:val="00023DFD"/>
    <w:rsid w:val="0002499B"/>
    <w:rsid w:val="00026C4B"/>
    <w:rsid w:val="000317D0"/>
    <w:rsid w:val="00034200"/>
    <w:rsid w:val="000411AC"/>
    <w:rsid w:val="00041351"/>
    <w:rsid w:val="00050383"/>
    <w:rsid w:val="00051830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7774C"/>
    <w:rsid w:val="00080371"/>
    <w:rsid w:val="000804B8"/>
    <w:rsid w:val="000807D3"/>
    <w:rsid w:val="00083479"/>
    <w:rsid w:val="00087E0D"/>
    <w:rsid w:val="000901A5"/>
    <w:rsid w:val="000967B3"/>
    <w:rsid w:val="00096841"/>
    <w:rsid w:val="00096CB2"/>
    <w:rsid w:val="000A28BF"/>
    <w:rsid w:val="000A48B6"/>
    <w:rsid w:val="000B3332"/>
    <w:rsid w:val="000B6D45"/>
    <w:rsid w:val="000C122E"/>
    <w:rsid w:val="000C12F0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593C"/>
    <w:rsid w:val="00117645"/>
    <w:rsid w:val="001328B9"/>
    <w:rsid w:val="00137323"/>
    <w:rsid w:val="00143DB9"/>
    <w:rsid w:val="00145986"/>
    <w:rsid w:val="001476B8"/>
    <w:rsid w:val="0015320A"/>
    <w:rsid w:val="0015391D"/>
    <w:rsid w:val="00154EAC"/>
    <w:rsid w:val="00157090"/>
    <w:rsid w:val="00160DEF"/>
    <w:rsid w:val="001662E0"/>
    <w:rsid w:val="00171EAF"/>
    <w:rsid w:val="00176254"/>
    <w:rsid w:val="00176EF7"/>
    <w:rsid w:val="00192533"/>
    <w:rsid w:val="001A2E12"/>
    <w:rsid w:val="001A56B8"/>
    <w:rsid w:val="001A7BE8"/>
    <w:rsid w:val="001B047F"/>
    <w:rsid w:val="001B37E6"/>
    <w:rsid w:val="001B645A"/>
    <w:rsid w:val="001C557C"/>
    <w:rsid w:val="001C5764"/>
    <w:rsid w:val="001C74F3"/>
    <w:rsid w:val="001D06A5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1F7D06"/>
    <w:rsid w:val="00200397"/>
    <w:rsid w:val="002003D6"/>
    <w:rsid w:val="002022B4"/>
    <w:rsid w:val="002054F6"/>
    <w:rsid w:val="002070DB"/>
    <w:rsid w:val="00207F0F"/>
    <w:rsid w:val="00213630"/>
    <w:rsid w:val="00214F18"/>
    <w:rsid w:val="002210B8"/>
    <w:rsid w:val="002213D8"/>
    <w:rsid w:val="00230265"/>
    <w:rsid w:val="00231144"/>
    <w:rsid w:val="002315B5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3005"/>
    <w:rsid w:val="00284924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028EA"/>
    <w:rsid w:val="003109AE"/>
    <w:rsid w:val="00311C0A"/>
    <w:rsid w:val="00315B0C"/>
    <w:rsid w:val="00317FD7"/>
    <w:rsid w:val="00321BE8"/>
    <w:rsid w:val="0032663A"/>
    <w:rsid w:val="00335CA7"/>
    <w:rsid w:val="00340432"/>
    <w:rsid w:val="00342CC5"/>
    <w:rsid w:val="00344A39"/>
    <w:rsid w:val="00344CAD"/>
    <w:rsid w:val="0034534D"/>
    <w:rsid w:val="003508AF"/>
    <w:rsid w:val="00353359"/>
    <w:rsid w:val="00360398"/>
    <w:rsid w:val="00362C22"/>
    <w:rsid w:val="00367697"/>
    <w:rsid w:val="0037043B"/>
    <w:rsid w:val="003712EE"/>
    <w:rsid w:val="00372763"/>
    <w:rsid w:val="00374AEB"/>
    <w:rsid w:val="00376B10"/>
    <w:rsid w:val="00376FE5"/>
    <w:rsid w:val="00377350"/>
    <w:rsid w:val="003834A6"/>
    <w:rsid w:val="00383A14"/>
    <w:rsid w:val="003877AA"/>
    <w:rsid w:val="003917AB"/>
    <w:rsid w:val="003976D9"/>
    <w:rsid w:val="003A5734"/>
    <w:rsid w:val="003A7217"/>
    <w:rsid w:val="003B0454"/>
    <w:rsid w:val="003B0A18"/>
    <w:rsid w:val="003B507F"/>
    <w:rsid w:val="003C25ED"/>
    <w:rsid w:val="003C446C"/>
    <w:rsid w:val="003D1E42"/>
    <w:rsid w:val="003D3B38"/>
    <w:rsid w:val="003D4F26"/>
    <w:rsid w:val="003D746D"/>
    <w:rsid w:val="003F078E"/>
    <w:rsid w:val="003F233A"/>
    <w:rsid w:val="003F3DE6"/>
    <w:rsid w:val="003F662B"/>
    <w:rsid w:val="00401BC8"/>
    <w:rsid w:val="00406739"/>
    <w:rsid w:val="0041163B"/>
    <w:rsid w:val="00412B26"/>
    <w:rsid w:val="00412EE9"/>
    <w:rsid w:val="004207CB"/>
    <w:rsid w:val="0042100F"/>
    <w:rsid w:val="00424FAF"/>
    <w:rsid w:val="00425D49"/>
    <w:rsid w:val="00435C20"/>
    <w:rsid w:val="0043699E"/>
    <w:rsid w:val="00440748"/>
    <w:rsid w:val="00443442"/>
    <w:rsid w:val="00446208"/>
    <w:rsid w:val="00452640"/>
    <w:rsid w:val="00454C68"/>
    <w:rsid w:val="004565AC"/>
    <w:rsid w:val="00462BFD"/>
    <w:rsid w:val="00474500"/>
    <w:rsid w:val="00482240"/>
    <w:rsid w:val="004845AA"/>
    <w:rsid w:val="00485E7D"/>
    <w:rsid w:val="00493DC1"/>
    <w:rsid w:val="004962A0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1767"/>
    <w:rsid w:val="004E6285"/>
    <w:rsid w:val="004E6D86"/>
    <w:rsid w:val="004E77CE"/>
    <w:rsid w:val="004F0293"/>
    <w:rsid w:val="004F0514"/>
    <w:rsid w:val="004F738B"/>
    <w:rsid w:val="005004A7"/>
    <w:rsid w:val="00500887"/>
    <w:rsid w:val="005048D2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6C11"/>
    <w:rsid w:val="00564BD0"/>
    <w:rsid w:val="005710F7"/>
    <w:rsid w:val="00572E83"/>
    <w:rsid w:val="0057438C"/>
    <w:rsid w:val="00577DA6"/>
    <w:rsid w:val="00582DFC"/>
    <w:rsid w:val="005921C7"/>
    <w:rsid w:val="005929DF"/>
    <w:rsid w:val="00596165"/>
    <w:rsid w:val="005A5000"/>
    <w:rsid w:val="005B1729"/>
    <w:rsid w:val="005B5AAF"/>
    <w:rsid w:val="005B5CB0"/>
    <w:rsid w:val="005B74BD"/>
    <w:rsid w:val="005C22FF"/>
    <w:rsid w:val="005C618F"/>
    <w:rsid w:val="005C63CB"/>
    <w:rsid w:val="005C7ECA"/>
    <w:rsid w:val="005D2293"/>
    <w:rsid w:val="005D3526"/>
    <w:rsid w:val="005D3E40"/>
    <w:rsid w:val="005E28B9"/>
    <w:rsid w:val="005E2C90"/>
    <w:rsid w:val="005E2D02"/>
    <w:rsid w:val="005F2939"/>
    <w:rsid w:val="00601F9A"/>
    <w:rsid w:val="00602F1F"/>
    <w:rsid w:val="006053A8"/>
    <w:rsid w:val="0060664C"/>
    <w:rsid w:val="0060715E"/>
    <w:rsid w:val="00610F83"/>
    <w:rsid w:val="00617A0D"/>
    <w:rsid w:val="00617EA1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3895"/>
    <w:rsid w:val="00683B37"/>
    <w:rsid w:val="006853E5"/>
    <w:rsid w:val="00685742"/>
    <w:rsid w:val="00692BC2"/>
    <w:rsid w:val="00693615"/>
    <w:rsid w:val="00693698"/>
    <w:rsid w:val="00697277"/>
    <w:rsid w:val="006A3120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2E42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66D23"/>
    <w:rsid w:val="0077179A"/>
    <w:rsid w:val="0077640E"/>
    <w:rsid w:val="00777457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621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28E"/>
    <w:rsid w:val="007E6605"/>
    <w:rsid w:val="007F04EF"/>
    <w:rsid w:val="007F2BD5"/>
    <w:rsid w:val="007F70E1"/>
    <w:rsid w:val="008013FE"/>
    <w:rsid w:val="00802D14"/>
    <w:rsid w:val="00802DF4"/>
    <w:rsid w:val="00804D84"/>
    <w:rsid w:val="00810AB1"/>
    <w:rsid w:val="00810FB2"/>
    <w:rsid w:val="00817565"/>
    <w:rsid w:val="00821804"/>
    <w:rsid w:val="00822CC3"/>
    <w:rsid w:val="00833C56"/>
    <w:rsid w:val="00834103"/>
    <w:rsid w:val="00835AB1"/>
    <w:rsid w:val="0084257A"/>
    <w:rsid w:val="0084691D"/>
    <w:rsid w:val="0085186C"/>
    <w:rsid w:val="0086308F"/>
    <w:rsid w:val="00870DED"/>
    <w:rsid w:val="00870FDB"/>
    <w:rsid w:val="00872F03"/>
    <w:rsid w:val="008761B7"/>
    <w:rsid w:val="008825B2"/>
    <w:rsid w:val="008908A4"/>
    <w:rsid w:val="008A18BA"/>
    <w:rsid w:val="008A5C03"/>
    <w:rsid w:val="008A7609"/>
    <w:rsid w:val="008B3E99"/>
    <w:rsid w:val="008B42DA"/>
    <w:rsid w:val="008B48DC"/>
    <w:rsid w:val="008C5356"/>
    <w:rsid w:val="008C627E"/>
    <w:rsid w:val="008C6836"/>
    <w:rsid w:val="008E32DD"/>
    <w:rsid w:val="00905E25"/>
    <w:rsid w:val="009066C8"/>
    <w:rsid w:val="00906DB6"/>
    <w:rsid w:val="009075DB"/>
    <w:rsid w:val="0091323D"/>
    <w:rsid w:val="00913486"/>
    <w:rsid w:val="00922802"/>
    <w:rsid w:val="0092580E"/>
    <w:rsid w:val="00926BC9"/>
    <w:rsid w:val="009274BD"/>
    <w:rsid w:val="009311E2"/>
    <w:rsid w:val="009320F7"/>
    <w:rsid w:val="009322A0"/>
    <w:rsid w:val="009352EF"/>
    <w:rsid w:val="00937922"/>
    <w:rsid w:val="00946179"/>
    <w:rsid w:val="009531C4"/>
    <w:rsid w:val="009543D0"/>
    <w:rsid w:val="0095673A"/>
    <w:rsid w:val="00956B85"/>
    <w:rsid w:val="00960E27"/>
    <w:rsid w:val="0096793F"/>
    <w:rsid w:val="00973391"/>
    <w:rsid w:val="00975DA3"/>
    <w:rsid w:val="0097655B"/>
    <w:rsid w:val="00987141"/>
    <w:rsid w:val="0098787A"/>
    <w:rsid w:val="009930A9"/>
    <w:rsid w:val="00995FA6"/>
    <w:rsid w:val="009A10D4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41F5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64374"/>
    <w:rsid w:val="00A71C3F"/>
    <w:rsid w:val="00A74FC6"/>
    <w:rsid w:val="00A80535"/>
    <w:rsid w:val="00A81AFC"/>
    <w:rsid w:val="00A82910"/>
    <w:rsid w:val="00A84D81"/>
    <w:rsid w:val="00A875DE"/>
    <w:rsid w:val="00A87FF0"/>
    <w:rsid w:val="00A96C6F"/>
    <w:rsid w:val="00A972DD"/>
    <w:rsid w:val="00AA04A6"/>
    <w:rsid w:val="00AA1545"/>
    <w:rsid w:val="00AA3BE6"/>
    <w:rsid w:val="00AB20D9"/>
    <w:rsid w:val="00AB2C75"/>
    <w:rsid w:val="00AB3DE7"/>
    <w:rsid w:val="00AB6ACA"/>
    <w:rsid w:val="00AD00BE"/>
    <w:rsid w:val="00AD513D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375F9"/>
    <w:rsid w:val="00B40158"/>
    <w:rsid w:val="00B46A6E"/>
    <w:rsid w:val="00B47065"/>
    <w:rsid w:val="00B47682"/>
    <w:rsid w:val="00B548B2"/>
    <w:rsid w:val="00B55D22"/>
    <w:rsid w:val="00B5693D"/>
    <w:rsid w:val="00B571F9"/>
    <w:rsid w:val="00B60B4D"/>
    <w:rsid w:val="00B677EE"/>
    <w:rsid w:val="00B67E5F"/>
    <w:rsid w:val="00B72E12"/>
    <w:rsid w:val="00B74051"/>
    <w:rsid w:val="00B758DA"/>
    <w:rsid w:val="00B77B00"/>
    <w:rsid w:val="00B80477"/>
    <w:rsid w:val="00B81186"/>
    <w:rsid w:val="00B84883"/>
    <w:rsid w:val="00B91C52"/>
    <w:rsid w:val="00BA2EC2"/>
    <w:rsid w:val="00BB0B87"/>
    <w:rsid w:val="00BB29B2"/>
    <w:rsid w:val="00BB2EEE"/>
    <w:rsid w:val="00BC04F7"/>
    <w:rsid w:val="00BD00EE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18D7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119"/>
    <w:rsid w:val="00C82C9A"/>
    <w:rsid w:val="00C83DF9"/>
    <w:rsid w:val="00C871AF"/>
    <w:rsid w:val="00C90EFB"/>
    <w:rsid w:val="00C911C7"/>
    <w:rsid w:val="00C94629"/>
    <w:rsid w:val="00C97E3A"/>
    <w:rsid w:val="00CA57B5"/>
    <w:rsid w:val="00CA62F8"/>
    <w:rsid w:val="00CA7E21"/>
    <w:rsid w:val="00CB0427"/>
    <w:rsid w:val="00CB3298"/>
    <w:rsid w:val="00CB34B4"/>
    <w:rsid w:val="00CB505B"/>
    <w:rsid w:val="00CB6212"/>
    <w:rsid w:val="00CB73A3"/>
    <w:rsid w:val="00CC154E"/>
    <w:rsid w:val="00CD26B3"/>
    <w:rsid w:val="00CD7185"/>
    <w:rsid w:val="00CE0039"/>
    <w:rsid w:val="00CE25A9"/>
    <w:rsid w:val="00CE4B5F"/>
    <w:rsid w:val="00CE6229"/>
    <w:rsid w:val="00CF04A5"/>
    <w:rsid w:val="00CF262D"/>
    <w:rsid w:val="00CF7D36"/>
    <w:rsid w:val="00D0038E"/>
    <w:rsid w:val="00D003F0"/>
    <w:rsid w:val="00D01DE6"/>
    <w:rsid w:val="00D027E5"/>
    <w:rsid w:val="00D05483"/>
    <w:rsid w:val="00D05AE9"/>
    <w:rsid w:val="00D11D75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73620"/>
    <w:rsid w:val="00D741DA"/>
    <w:rsid w:val="00D76285"/>
    <w:rsid w:val="00D77440"/>
    <w:rsid w:val="00D80730"/>
    <w:rsid w:val="00D926BB"/>
    <w:rsid w:val="00D944F2"/>
    <w:rsid w:val="00DA3389"/>
    <w:rsid w:val="00DA47F3"/>
    <w:rsid w:val="00DA78C8"/>
    <w:rsid w:val="00DA7ADE"/>
    <w:rsid w:val="00DA7EB4"/>
    <w:rsid w:val="00DB2A9B"/>
    <w:rsid w:val="00DB3AA5"/>
    <w:rsid w:val="00DB4312"/>
    <w:rsid w:val="00DB6B30"/>
    <w:rsid w:val="00DB75B4"/>
    <w:rsid w:val="00DC474C"/>
    <w:rsid w:val="00DC726E"/>
    <w:rsid w:val="00DD227E"/>
    <w:rsid w:val="00DD334C"/>
    <w:rsid w:val="00DD571E"/>
    <w:rsid w:val="00DD7D14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79A5"/>
    <w:rsid w:val="00E325A4"/>
    <w:rsid w:val="00E3602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6465"/>
    <w:rsid w:val="00EE781C"/>
    <w:rsid w:val="00EF0218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173F7"/>
    <w:rsid w:val="00F20664"/>
    <w:rsid w:val="00F249E7"/>
    <w:rsid w:val="00F25286"/>
    <w:rsid w:val="00F42426"/>
    <w:rsid w:val="00F44792"/>
    <w:rsid w:val="00F44A33"/>
    <w:rsid w:val="00F45D35"/>
    <w:rsid w:val="00F519A9"/>
    <w:rsid w:val="00F52E1D"/>
    <w:rsid w:val="00F57E27"/>
    <w:rsid w:val="00F57ED1"/>
    <w:rsid w:val="00F6025E"/>
    <w:rsid w:val="00F624D3"/>
    <w:rsid w:val="00F66BC5"/>
    <w:rsid w:val="00F7228D"/>
    <w:rsid w:val="00F773C5"/>
    <w:rsid w:val="00F82C69"/>
    <w:rsid w:val="00F876E0"/>
    <w:rsid w:val="00F92A17"/>
    <w:rsid w:val="00F9412D"/>
    <w:rsid w:val="00F95AE8"/>
    <w:rsid w:val="00F95F7B"/>
    <w:rsid w:val="00FC1D1A"/>
    <w:rsid w:val="00FC278E"/>
    <w:rsid w:val="00FC2F67"/>
    <w:rsid w:val="00FC770C"/>
    <w:rsid w:val="00FD1B73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99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CA6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215E2-32E1-430C-BFF4-748374581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7261</Words>
  <Characters>41390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4</cp:revision>
  <cp:lastPrinted>2022-10-31T03:22:00Z</cp:lastPrinted>
  <dcterms:created xsi:type="dcterms:W3CDTF">2022-11-02T06:48:00Z</dcterms:created>
  <dcterms:modified xsi:type="dcterms:W3CDTF">2022-11-18T01:56:00Z</dcterms:modified>
</cp:coreProperties>
</file>