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42" w:rsidRDefault="00FE344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3442" w:rsidRDefault="00FE3442">
      <w:pPr>
        <w:pStyle w:val="ConsPlusNormal"/>
        <w:jc w:val="both"/>
        <w:outlineLvl w:val="0"/>
      </w:pPr>
    </w:p>
    <w:p w:rsidR="00FE3442" w:rsidRDefault="00FE34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3442" w:rsidRDefault="00FE3442">
      <w:pPr>
        <w:pStyle w:val="ConsPlusTitle"/>
        <w:jc w:val="center"/>
      </w:pPr>
    </w:p>
    <w:p w:rsidR="00FE3442" w:rsidRDefault="00FE3442">
      <w:pPr>
        <w:pStyle w:val="ConsPlusTitle"/>
        <w:jc w:val="center"/>
      </w:pPr>
      <w:r>
        <w:t>ПОСТАНОВЛЕНИЕ</w:t>
      </w:r>
    </w:p>
    <w:p w:rsidR="00FE3442" w:rsidRDefault="00FE3442">
      <w:pPr>
        <w:pStyle w:val="ConsPlusTitle"/>
        <w:jc w:val="center"/>
      </w:pPr>
      <w:r>
        <w:t>от 30 ноября 2021 г. N 2128</w:t>
      </w:r>
    </w:p>
    <w:p w:rsidR="00FE3442" w:rsidRDefault="00FE3442">
      <w:pPr>
        <w:pStyle w:val="ConsPlusTitle"/>
        <w:jc w:val="center"/>
      </w:pPr>
    </w:p>
    <w:p w:rsidR="00FE3442" w:rsidRDefault="00FE3442">
      <w:pPr>
        <w:pStyle w:val="ConsPlusTitle"/>
        <w:jc w:val="center"/>
      </w:pPr>
      <w:r>
        <w:t>О ПОРЯДКЕ</w:t>
      </w:r>
    </w:p>
    <w:p w:rsidR="00FE3442" w:rsidRDefault="00FE3442">
      <w:pPr>
        <w:pStyle w:val="ConsPlusTitle"/>
        <w:jc w:val="center"/>
      </w:pPr>
      <w:r>
        <w:t>ОПРЕДЕЛЕНИЯ ХАРАКТЕРИСТИК ДРЕВЕСИНЫ И УЧЕТА ДРЕВЕСИНЫ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определения характеристик древесины и учета древесины.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2020 г. N 1898 "Об утверждении Правил учета древесины" (Собрание законодательства Российской Федерации, 2020, N 48, ст. 7752).</w:t>
      </w:r>
    </w:p>
    <w:p w:rsidR="00FE3442" w:rsidRDefault="00FE344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E34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442" w:rsidRDefault="00FE344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442" w:rsidRDefault="00FE344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442" w:rsidRDefault="00FE344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3442" w:rsidRDefault="00FE3442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16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30.11.2021.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442" w:rsidRDefault="00FE3442">
            <w:pPr>
              <w:spacing w:after="1" w:line="0" w:lineRule="atLeast"/>
            </w:pPr>
          </w:p>
        </w:tc>
      </w:tr>
    </w:tbl>
    <w:p w:rsidR="00FE3442" w:rsidRDefault="00FE3442">
      <w:pPr>
        <w:pStyle w:val="ConsPlusNormal"/>
        <w:spacing w:before="280"/>
        <w:ind w:firstLine="540"/>
        <w:jc w:val="both"/>
      </w:pPr>
      <w:bookmarkStart w:id="0" w:name="P14"/>
      <w:bookmarkEnd w:id="0"/>
      <w:r>
        <w:t>3. Федеральному агентству по техническому регулированию и метрологии предусмотреть включение в программу национальной стандартизации стандартов в области определения характеристик древесины и продукции ее переработки до 1 января 2023 г. и обеспечить их разработку и утверждение до 1 марта 2024 г.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4. Установить, что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работников указанных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5. Настоящее постановление вступает в силу с 1 марта 2022 г., за исключением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FE3442" w:rsidRDefault="00FE3442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действуют до 1 марта 2028 г.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right"/>
      </w:pPr>
      <w:r>
        <w:t>Председатель Правительства</w:t>
      </w:r>
    </w:p>
    <w:p w:rsidR="00FE3442" w:rsidRDefault="00FE3442">
      <w:pPr>
        <w:pStyle w:val="ConsPlusNormal"/>
        <w:jc w:val="right"/>
      </w:pPr>
      <w:r>
        <w:t>Российской Федерации</w:t>
      </w:r>
    </w:p>
    <w:p w:rsidR="00FE3442" w:rsidRDefault="00FE3442">
      <w:pPr>
        <w:pStyle w:val="ConsPlusNormal"/>
        <w:jc w:val="right"/>
      </w:pPr>
      <w:r>
        <w:t>М.МИШУСТИН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right"/>
        <w:outlineLvl w:val="0"/>
      </w:pPr>
      <w:r>
        <w:t>Утверждены</w:t>
      </w:r>
    </w:p>
    <w:p w:rsidR="00FE3442" w:rsidRDefault="00FE3442">
      <w:pPr>
        <w:pStyle w:val="ConsPlusNormal"/>
        <w:jc w:val="right"/>
      </w:pPr>
      <w:r>
        <w:t>постановлением Правительства</w:t>
      </w:r>
    </w:p>
    <w:p w:rsidR="00FE3442" w:rsidRDefault="00FE3442">
      <w:pPr>
        <w:pStyle w:val="ConsPlusNormal"/>
        <w:jc w:val="right"/>
      </w:pPr>
      <w:r>
        <w:t>Российской Федерации</w:t>
      </w:r>
    </w:p>
    <w:p w:rsidR="00FE3442" w:rsidRDefault="00FE3442">
      <w:pPr>
        <w:pStyle w:val="ConsPlusNormal"/>
        <w:jc w:val="right"/>
      </w:pPr>
      <w:r>
        <w:t>от 30 ноября 2021 г. N 2128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Title"/>
        <w:jc w:val="center"/>
      </w:pPr>
      <w:bookmarkStart w:id="2" w:name="P32"/>
      <w:bookmarkEnd w:id="2"/>
      <w:r>
        <w:lastRenderedPageBreak/>
        <w:t>ПРАВИЛА</w:t>
      </w:r>
    </w:p>
    <w:p w:rsidR="00FE3442" w:rsidRDefault="00FE3442">
      <w:pPr>
        <w:pStyle w:val="ConsPlusTitle"/>
        <w:jc w:val="center"/>
      </w:pPr>
      <w:r>
        <w:t>ОПРЕДЕЛЕНИЯ ХАРАКТЕРИСТИК ДРЕВЕСИНЫ И УЧЕТА ДРЕВЕСИНЫ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ind w:firstLine="540"/>
        <w:jc w:val="both"/>
      </w:pPr>
      <w:bookmarkStart w:id="3" w:name="P35"/>
      <w:bookmarkEnd w:id="3"/>
      <w:r>
        <w:t>1. Настоящие Правила устанавливают порядок определения характеристик древесины и учета древесины в отношении: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древесины, полученной при использовании лесов и при осуществлении мероприятий по их сохранению;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транспортируемой древесины и продукции ее переработки;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4" w:name="P38"/>
      <w:bookmarkEnd w:id="4"/>
      <w:r>
        <w:t>в) древесины, размещенной в местах (пунктах) складирования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древесины, поступившей для переработки;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5" w:name="P40"/>
      <w:bookmarkEnd w:id="5"/>
      <w:r>
        <w:t>д) продукции переработки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древесины и продукции ее переработки, являющихся предметом сделок с древесиной.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2. Настоящие Правила применяются к древесине и продукции ее переработки, перечень которых определяется Правительством Российской Федерации в соответствии </w:t>
      </w:r>
      <w:hyperlink r:id="rId7" w:history="1">
        <w:r>
          <w:rPr>
            <w:color w:val="0000FF"/>
          </w:rPr>
          <w:t>частью 1 статьи 50.1</w:t>
        </w:r>
      </w:hyperlink>
      <w:r>
        <w:t xml:space="preserve"> Лесного кодекса Российской Федерации (далее - древесина).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3. Положения настоящих Правил направлены на обеспечение прослеживаемости происхождения древесины, сопоставимость определения характеристик древесины, полноту учета и анализ сведений о ней.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4. В целях учета древесины осуществляется определение объема, видового (породного), сортиментного состава древесины, кода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2), а в отношении древесины, вывозимой из Российской Федерации за пределы Евразийского экономического союза, - также кода единой Товарной </w:t>
      </w:r>
      <w:hyperlink r:id="rId9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с указанием ее влажности более 22 процентов для товаров, классифицируемых в товарной </w:t>
      </w:r>
      <w:hyperlink r:id="rId10" w:history="1">
        <w:r>
          <w:rPr>
            <w:color w:val="0000FF"/>
          </w:rPr>
          <w:t>позиции 4407</w:t>
        </w:r>
      </w:hyperlink>
      <w:r>
        <w:t xml:space="preserve"> единой Товарной номенклатуры внешнеэкономической деятельности Евразийского экономического союза (далее - характеристики древесины), и внесение характеристик древесины посредством формирования отчетов и документов, предусмотренных </w:t>
      </w:r>
      <w:hyperlink r:id="rId11" w:history="1">
        <w:r>
          <w:rPr>
            <w:color w:val="0000FF"/>
          </w:rPr>
          <w:t>частью 5 статьи 50.1</w:t>
        </w:r>
      </w:hyperlink>
      <w:r>
        <w:t xml:space="preserve"> Лесного кодекса Российской Федерации, в единую государственную автоматизированную информационную систему учета древесины и сделок с ней (до 1 января 2023 г.) или в государственный лесной реестр (с 1 января 2023 г.) (далее соответственно - информационная система, реестр).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Федеральное агентство лесного хозяйства обеспечивает внесение указанных сведений, осуществляет проверку (сопоставление), обработку, анализ и хранение сведений о древесине.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5. Сведения о древесине, которые вносятся в информационную систему и реестр, должны соответствовать документам, сформированным по фактам хозяйственной жизни, происходящим в процессе оборота древесины. Не допускается внесение сведений по фактам, которые не имели места в хозяйственной жизни, в том числе по фактам, лежащим в основе мнимых и притворных сделок.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6. Учет древесины осуществляется Федеральным агентством лесного хозяйства в отношении древесины, указанной в </w:t>
      </w:r>
      <w:hyperlink w:anchor="P35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6" w:name="P48"/>
      <w:bookmarkEnd w:id="6"/>
      <w:r>
        <w:t>7. Для проверки (сопоставления) и обработки сведений о древесине Федеральным агентством лесного хозяйства утверждаются алгоритмы, которые разрабатываются с учетом сложившихся в лесном комплексе обычаев делового оборота.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lastRenderedPageBreak/>
        <w:t xml:space="preserve">8. Алгоритмы, указанные в </w:t>
      </w:r>
      <w:hyperlink w:anchor="P48" w:history="1">
        <w:r>
          <w:rPr>
            <w:color w:val="0000FF"/>
          </w:rPr>
          <w:t>пункте 7</w:t>
        </w:r>
      </w:hyperlink>
      <w:r>
        <w:t xml:space="preserve"> настоящих Правил, должны учитывать: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особенности древесины как товара природного происхождения с изменяющимися характеристиками (допускаемые погрешности измерений);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нормы воспроизводимости результатов измерений;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нормы дебаланса;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специфику производственных процессов и заключаемых сделок с древесиной;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сведения о документах (идентификаторах документов), формируемых в процессе оборота древесины и хронологически непосредственно предшествующих очередному факту хозяйственной жизни.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9. Лица и органы, указанные в </w:t>
      </w:r>
      <w:hyperlink r:id="rId12" w:history="1">
        <w:r>
          <w:rPr>
            <w:color w:val="0000FF"/>
          </w:rPr>
          <w:t>части 3 статьи 50.1</w:t>
        </w:r>
      </w:hyperlink>
      <w:r>
        <w:t xml:space="preserve"> Лесного кодекса Российской Федерации, осуществляют определение характеристик древесины в соответствии с </w:t>
      </w:r>
      <w:hyperlink w:anchor="P139" w:history="1">
        <w:r>
          <w:rPr>
            <w:color w:val="0000FF"/>
          </w:rPr>
          <w:t>пунктами 31</w:t>
        </w:r>
      </w:hyperlink>
      <w:r>
        <w:t xml:space="preserve"> - </w:t>
      </w:r>
      <w:hyperlink w:anchor="P255" w:history="1">
        <w:r>
          <w:rPr>
            <w:color w:val="0000FF"/>
          </w:rPr>
          <w:t>69</w:t>
        </w:r>
      </w:hyperlink>
      <w:r>
        <w:t xml:space="preserve"> настоящих Правил и могут использовать методики (методы) измерений, применяемые при проведении таможенных операций и таможенном контроле, и следующие стандарты: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ГОСТ Р 57738-2017</w:t>
        </w:r>
      </w:hyperlink>
      <w:r>
        <w:t xml:space="preserve"> "Хлысты. Технические условия";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ГОСТ Р 57737-2017</w:t>
        </w:r>
      </w:hyperlink>
      <w:r>
        <w:t xml:space="preserve"> "Хлысты. Методы измерения";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ГОСТ 9463-2016</w:t>
        </w:r>
      </w:hyperlink>
      <w:r>
        <w:t xml:space="preserve"> "Лесоматериалы круглые хвойных пород. Технические условия";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г) </w:t>
      </w:r>
      <w:hyperlink r:id="rId16" w:history="1">
        <w:r>
          <w:rPr>
            <w:color w:val="0000FF"/>
          </w:rPr>
          <w:t>ГОСТ 9462-2016</w:t>
        </w:r>
      </w:hyperlink>
      <w:r>
        <w:t xml:space="preserve"> "Лесоматериалы круглые лиственных пород. Технические условия";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д) </w:t>
      </w:r>
      <w:hyperlink r:id="rId17" w:history="1">
        <w:r>
          <w:rPr>
            <w:color w:val="0000FF"/>
          </w:rPr>
          <w:t>ГОСТ 32594-2013</w:t>
        </w:r>
      </w:hyperlink>
      <w:r>
        <w:t xml:space="preserve"> "Лесоматериалы круглые. Методы измерений";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е) </w:t>
      </w:r>
      <w:hyperlink r:id="rId18" w:history="1">
        <w:r>
          <w:rPr>
            <w:color w:val="0000FF"/>
          </w:rPr>
          <w:t>ГОСТ 8486-86</w:t>
        </w:r>
      </w:hyperlink>
      <w:r>
        <w:t xml:space="preserve"> "Пиломатериалы хвойных пород. Технические условия";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ж) </w:t>
      </w:r>
      <w:hyperlink r:id="rId19" w:history="1">
        <w:r>
          <w:rPr>
            <w:color w:val="0000FF"/>
          </w:rPr>
          <w:t>ГОСТ 2695-83</w:t>
        </w:r>
      </w:hyperlink>
      <w:r>
        <w:t xml:space="preserve"> "Пиломатериалы лиственных пород. Технические условия";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з) </w:t>
      </w:r>
      <w:hyperlink r:id="rId20" w:history="1">
        <w:r>
          <w:rPr>
            <w:color w:val="0000FF"/>
          </w:rPr>
          <w:t>ГОСТ 26002-83</w:t>
        </w:r>
      </w:hyperlink>
      <w:r>
        <w:t xml:space="preserve"> "Пиломатериалы хвойных пород северной сортировки, поставляемые для экспорта. Технические условия";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и) </w:t>
      </w:r>
      <w:hyperlink r:id="rId21" w:history="1">
        <w:r>
          <w:rPr>
            <w:color w:val="0000FF"/>
          </w:rPr>
          <w:t>ГОСТ 6564-84</w:t>
        </w:r>
      </w:hyperlink>
      <w:r>
        <w:t xml:space="preserve"> "Пиломатериалы и заготовки. Правила приемки, методы контроля, маркировка и транспортирование";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к) </w:t>
      </w:r>
      <w:hyperlink r:id="rId22" w:history="1">
        <w:r>
          <w:rPr>
            <w:color w:val="0000FF"/>
          </w:rPr>
          <w:t>ГОСТ 6782.1-75</w:t>
        </w:r>
      </w:hyperlink>
      <w:r>
        <w:t xml:space="preserve"> "Пилопродукция из древесины хвойных пород. Величина усушки";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л) </w:t>
      </w:r>
      <w:hyperlink r:id="rId23" w:history="1">
        <w:r>
          <w:rPr>
            <w:color w:val="0000FF"/>
          </w:rPr>
          <w:t>ГОСТ 6782.2-75</w:t>
        </w:r>
      </w:hyperlink>
      <w:r>
        <w:t xml:space="preserve"> "Пилопродукция из древесины лиственных пород. Величина усушки";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м) ОСТ 13-24-86 "Доски необрезные. Способы учета объема";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н) </w:t>
      </w:r>
      <w:hyperlink r:id="rId24" w:history="1">
        <w:r>
          <w:rPr>
            <w:color w:val="0000FF"/>
          </w:rPr>
          <w:t>ОСТ 13-43-79 Е</w:t>
        </w:r>
      </w:hyperlink>
      <w:r>
        <w:t xml:space="preserve"> "Лесоматериалы круглые. Геометрический метод определения объема и оценка качества лесоматериалов, погруженных в вагоны и на автомобили".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10. Определение характеристик древесины осуществляется в отношении единицы (объекта) определения характеристик древесины, указанных в </w:t>
      </w:r>
      <w:hyperlink w:anchor="P69" w:history="1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11. В настоящих Правилах под единицей (объектом) определения характеристик древесины понимается: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хлыст (часть ствола спиленного дерева без сучьев, прикорневой части и вершины);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б) сортимент (бревно определенного назначения, образующееся при заготовке древесины </w:t>
      </w:r>
      <w:r>
        <w:lastRenderedPageBreak/>
        <w:t>или раскряжевке хлыстов);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штабель древесины (штабель лесоматериалов) (параллельно и ровно уложенные друг на друга в несколько рядов сортименты или хлысты, часть партии древесины, размещенная отдельно от других частей партии древесины);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штабель пиломатериалов (параллельно и ровно уложенные друг на друга ряды или пакеты пиломатериалов без ограничений по их количеству, часть партии пиломатериалов, размещенная отдельно от других частей партии пиломатериалов);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пакет пиломатериалов (параллельно и ровно уложенные друг на друга с прокладками или без них ряды пиломатериалов, фиксированных обвязкой, контейнером или другим способом, сформированные для сушки, хранения или транспортировки);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партия древесины, пиломатериалов (совокупность сортиментов, штабель, пакет или совокупность пакетов, штабелей со сходными характеристиками, с которыми одновременно или последовательно проведена одна из таких хозяйственных операций, как транспортировка, хранение, сортировка, переработка и учет по одному документу либо по нескольким документам первичного учета).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12. В целях учета древесины определение характеристик древесины осуществляется: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лицами, использующими леса или осуществляющими мероприятия по сохранению лесов, - в отношении древесины, полученной при использовании лесов и при осуществлении мероприятий по их сохранению, до вывоза ее из леса;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б) органами государственной власти, органами местного самоуправления, уполномоченными в соответствии со </w:t>
      </w:r>
      <w:hyperlink r:id="rId25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26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на заключение договоров купли-продажи лесных насаждений для собственных нужд граждан, - в отношении древесины, заготовленной гражданами для собственных нужд;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в) собственниками древесины или уполномоченными ими лицами, а также иными лицами, предусмотренными </w:t>
      </w:r>
      <w:hyperlink r:id="rId27" w:history="1">
        <w:r>
          <w:rPr>
            <w:color w:val="0000FF"/>
          </w:rPr>
          <w:t>частью 5 статьи 50.4</w:t>
        </w:r>
      </w:hyperlink>
      <w:r>
        <w:t xml:space="preserve"> Лесного кодекса Российской Федерации, - в отношении транспортируемой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г) лицами, владеющими на праве собственности или ином законном основании местами (пунктами) складирования древесины, объектами лесоперерабатывающей инфраструктуры, - в отношении древесины, указанной в </w:t>
      </w:r>
      <w:hyperlink w:anchor="P38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40" w:history="1">
        <w:r>
          <w:rPr>
            <w:color w:val="0000FF"/>
          </w:rPr>
          <w:t>"д" пункта 1</w:t>
        </w:r>
      </w:hyperlink>
      <w:r>
        <w:t xml:space="preserve"> настоящих Правил;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сторонами сделки - в отношении древесины, являющейся предметом сделки.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13. Определение характеристик древесины включает в себя визуальный осмотр, проведение измерений, фиксацию результатов в целях формирования учетных документов, в том числе документов бухгалтерского учета.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14. Определение характеристик древесины может осуществляться с использованием автоматических средств фиксации при обеспечении контроля за качеством определения.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15. Применение кодов Общероссийского </w:t>
      </w:r>
      <w:hyperlink r:id="rId28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 и единой Товарной </w:t>
      </w:r>
      <w:hyperlink r:id="rId29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к определенным единицам учета осуществляется собственниками древесины (уполномоченными ими лицами) самостоятельно путем отнесения этого объекта к соответствующему коду и наименованию позиции Общероссийского </w:t>
      </w:r>
      <w:hyperlink r:id="rId30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 и единой Товарной </w:t>
      </w:r>
      <w:hyperlink r:id="rId31" w:history="1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экономического союза. В отношении древесины, заготовленной гражданами для собственных </w:t>
      </w:r>
      <w:r>
        <w:lastRenderedPageBreak/>
        <w:t xml:space="preserve">нужд, применение кодов Общероссийского </w:t>
      </w:r>
      <w:hyperlink r:id="rId32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 к определенным единицам учета осуществляется органами государственной власти, органами местного самоуправления, уполномоченными в соответствии со </w:t>
      </w:r>
      <w:hyperlink r:id="rId33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34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на заключение договоров купли-продажи лесных насаждений для собственных нужд граждан.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8" w:name="P86"/>
      <w:bookmarkEnd w:id="8"/>
      <w:r>
        <w:t>16. В целях обеспечения прослеживаемости происхождения заготовленной древесины фиксация результатов определения характеристик древесины, полученной при использовании лесов и при осуществлении мероприятий по их сохранению, осуществляется с указанием: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документов, подтверждающих законность происхождения полученной древесины (договор аренды лесного участка, лесная декларация, отчет об использовании лесов, договор купли-продажи лесных насаждений, договор купли-продажи древесины и др.);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характеристик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места, даты и времени определения характеристик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сведений об изменении характеристик древесины в случае, если собственник древесины принял решение об изменении характеристик древесины, с указанием реквизитов соответствующего документа (наименование, номер, дата).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17. Фиксация определения характеристик древесины осуществляется отдельно по объему заготовленной ликвидной древесины, остатку древесины на лесосеке, а также по объему древесины, использованной на собственные нужды хозяйствующего субъекта (лежневые дороги, отопление, создание погрузочных пунктов, производственных и бытовых объектов и др.).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18. Лица и органы, указанные соответственно в </w:t>
      </w:r>
      <w:hyperlink r:id="rId35" w:history="1">
        <w:r>
          <w:rPr>
            <w:color w:val="0000FF"/>
          </w:rPr>
          <w:t>пунктах 1</w:t>
        </w:r>
      </w:hyperlink>
      <w:r>
        <w:t xml:space="preserve"> и </w:t>
      </w:r>
      <w:hyperlink r:id="rId36" w:history="1">
        <w:r>
          <w:rPr>
            <w:color w:val="0000FF"/>
          </w:rPr>
          <w:t>2 части 3 статьи 50.1</w:t>
        </w:r>
      </w:hyperlink>
      <w:r>
        <w:t xml:space="preserve"> Лесного кодекса Российской Федерации, осуществляют внесение сведений, указанных в </w:t>
      </w:r>
      <w:hyperlink w:anchor="P86" w:history="1">
        <w:r>
          <w:rPr>
            <w:color w:val="0000FF"/>
          </w:rPr>
          <w:t>пункте 16</w:t>
        </w:r>
      </w:hyperlink>
      <w:r>
        <w:t xml:space="preserve"> настоящих Правил, в информационную систему и реестр путем учета фактического объема полученной древесины на лесосеке, в том числе для формирования отчета об использовании лесов.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9" w:name="P93"/>
      <w:bookmarkEnd w:id="9"/>
      <w:r>
        <w:t>19. В целях обеспечения прослеживаемости происхождения транспортируемой древесины фиксация результатов определения ее характеристик осуществляется с указанием: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собственника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грузоотправителя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грузополучателя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перевозчика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реквизитов сделок с древесиной, в том числе номера декларации о сделках с древесиной (в случае если совершались сделки с древесиной и транспортировка осуществляется в связи с совершением сделок с древесиной);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даты и времени оформления и прекращения действия электронного сопроводительного документа на транспортировку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ж) идентификационного номера электронного сопроводительного документа;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з) характеристик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и) пункта отправления и назначения, мест фактического пересечения транспортным средством государственной границы Российской Федерации при вывозе древесины из Российской </w:t>
      </w:r>
      <w:r>
        <w:lastRenderedPageBreak/>
        <w:t>Федерации;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1" w:name="P103"/>
      <w:bookmarkEnd w:id="11"/>
      <w:r>
        <w:t>к) номера государственного регистрационного знака транспортного средства, на котором осуществляется транспортировка древесины (в случае ее транспортировки автомобильным транспортом).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20. В случае приобретения древесины на розничном рынке или в организации розничной торговли в объеме 10 куб. метров и более сведения о пункте назначения и номере государственного регистрационного знака транспортного средства, на котором осуществляется транспортировка древесины, предусмотренные </w:t>
      </w:r>
      <w:hyperlink w:anchor="P102" w:history="1">
        <w:r>
          <w:rPr>
            <w:color w:val="0000FF"/>
          </w:rPr>
          <w:t>подпунктами "и"</w:t>
        </w:r>
      </w:hyperlink>
      <w:r>
        <w:t xml:space="preserve"> и </w:t>
      </w:r>
      <w:hyperlink w:anchor="P103" w:history="1">
        <w:r>
          <w:rPr>
            <w:color w:val="0000FF"/>
          </w:rPr>
          <w:t>"к" пункта 19</w:t>
        </w:r>
      </w:hyperlink>
      <w:r>
        <w:t xml:space="preserve"> настоящих Правил, не указываются.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21. Положения </w:t>
      </w:r>
      <w:hyperlink w:anchor="P93" w:history="1">
        <w:r>
          <w:rPr>
            <w:color w:val="0000FF"/>
          </w:rPr>
          <w:t>пункта 19</w:t>
        </w:r>
      </w:hyperlink>
      <w:r>
        <w:t xml:space="preserve"> настоящих Правил не применяются к транспортировке древесины в следующих случаях: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заготовка ее гражданами для собственных нужд;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б) приобретение права собственности на древесину в связи с использованием лесов по основанию, предусмотренному Лесным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Федерации, если совершение таких операций осуществляется в границах лесосеки;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приобретение на розничном рынке или в организации розничной торговли древесины в объеме до 10 куб. метров.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22. Лица, указанные в </w:t>
      </w:r>
      <w:hyperlink r:id="rId38" w:history="1">
        <w:r>
          <w:rPr>
            <w:color w:val="0000FF"/>
          </w:rPr>
          <w:t>пункте 3 части 3 статьи 50.1</w:t>
        </w:r>
      </w:hyperlink>
      <w:r>
        <w:t xml:space="preserve"> Лесного кодекса Российской Федерации, осуществляют внесение сведений, указанных в </w:t>
      </w:r>
      <w:hyperlink w:anchor="P93" w:history="1">
        <w:r>
          <w:rPr>
            <w:color w:val="0000FF"/>
          </w:rPr>
          <w:t>пункте 19</w:t>
        </w:r>
      </w:hyperlink>
      <w:r>
        <w:t xml:space="preserve"> настоящих Правил, в информационную систему и реестр путем формирования электронного сопроводительного документа.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>23. В целях обеспечения прослеживаемости происхождения складируемой (хранящейся) древесины фиксация результатов определения характеристик древесины, размещенной в местах (пунктах) складирования древесины, осуществляется с указанием: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идентификационного номера места (пункта) складирования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собственника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характеристик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даты и времени фиксации результатов определения характеристик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сведений о лице (фамилия, имя, отчество (при наличии) и должность), осуществляющем фиксацию результатов определения видов древесины и объема каждого вида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сведений об изменении характеристик древесины в случае, если собственник древесины принял соответствующее решение, с указанием реквизитов документа, подтверждающего такое решение (наименование, номер, дата);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ж) сведений о древесине, которая списана на собственные нужды хозяйствующего субъекта на основании документов, оформленных собственником древесины, с указанием реквизитов такого документа (наименование, номер, дата);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з) сведений о древесине, которая ввезена на склад или вывезена со склада, с указанием идентификационного номера электронного сопроводительного документа.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24. Лица, которым на законных основаниях принадлежат склады древесины, в целях учета древесины осуществляют внесение данных, указанных в </w:t>
      </w:r>
      <w:hyperlink w:anchor="P110" w:history="1">
        <w:r>
          <w:rPr>
            <w:color w:val="0000FF"/>
          </w:rPr>
          <w:t>пункте 23</w:t>
        </w:r>
      </w:hyperlink>
      <w:r>
        <w:t xml:space="preserve"> настоящих Правил, в информационную систему и реестр путем формирования отчета о ввезенной на склад или </w:t>
      </w:r>
      <w:r>
        <w:lastRenderedPageBreak/>
        <w:t>вывезенной со склада древесине (отчет о балансе древесины).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3" w:name="P120"/>
      <w:bookmarkEnd w:id="13"/>
      <w:r>
        <w:t>25. В целях обеспечения прослеживаемости происхождения древесины, поступившей для переработки, древесины, которая перерабатывается, фиксация результатов осуществляется с указанием: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идентификационного номера объекта лесоперерабатывающей инфраструктуры;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собственника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в) характеристик древесины, поступившей на переработку, характеристик древесины, которая перерабатывается, с указанием соответствующих кодов по Общероссийскому </w:t>
      </w:r>
      <w:hyperlink r:id="rId39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даты фиксации результатов определения характеристик древесины каждого вида до и после переработки;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идентификационного номера электронного сопроводительного документа, в соответствии с которым древесина поступила на объект лесоперерабатывающей инфраструктуры;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информации о количественных и качественных характеристиках произведенной древесины (наименование, объем).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26. Лица, которым на законных основаниях принадлежат объекты лесоперерабатывающей инфраструктуры, в целях учета древесины осуществляют внесение данных, указанных в </w:t>
      </w:r>
      <w:hyperlink w:anchor="P120" w:history="1">
        <w:r>
          <w:rPr>
            <w:color w:val="0000FF"/>
          </w:rPr>
          <w:t>пункте 25</w:t>
        </w:r>
      </w:hyperlink>
      <w:r>
        <w:t xml:space="preserve"> настоящих Правил, в информационную систему и реестр путем формирования отчета о древесине.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>27. В целях обеспечения прослеживаемости происхождения древесины, являющейся предметом сделок, фиксация результатов определения характеристик древесины в ходе реализации заключенной сделки осуществляется с указанием: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информации о собственниках древесины и сторонах сделки;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характеристик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сведений о договоре купли-продажи древесины, по которому она приобретается или отчуждается (наименования сторон договора, дата заключения и номер договора, срок его действия, характеристики древесины (по договору);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сведений о месте складирования древесины (при наличии);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даты фиксации характеристик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идентификационного номера сделки.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28. Юридические лица и индивидуальные предприниматели, совершившие сделки с древесиной, вносят данные, указанные в </w:t>
      </w:r>
      <w:hyperlink w:anchor="P128" w:history="1">
        <w:r>
          <w:rPr>
            <w:color w:val="0000FF"/>
          </w:rPr>
          <w:t>пункте 27</w:t>
        </w:r>
      </w:hyperlink>
      <w:r>
        <w:t xml:space="preserve"> настоящих Правил, в информационную систему и реестр путем формирования декларации о сделке с древесиной.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29. Результаты измерения объема древесины фиксируются в кубических метрах без учета промежутков и пустот (далее - плотные кубические метры) с округлением значения до 2 знаков после запятой при учете партии древесины и до 3 знаков - при поштучном учете древесины.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Определение объема древесины, транспортируемой в целях вывоза из Российской Федерации, перевозки по территории Российской Федерации под таможенным контролем, временного хранения, таможенного декларирования и выпуска фиксируется в плотных </w:t>
      </w:r>
      <w:r>
        <w:lastRenderedPageBreak/>
        <w:t>кубических метрах с корой и с припусками с округлением значения до 3 знаков после запятой в соответствии с методиками (методами) измерений, применяемых при проведении таможенных операций и таможенном контроле.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30. Древесина, сведения о которой не внесены в информационную систему и реестр либо внесены с нарушением требований настоящих Правил, или древесина, о которой внесены недостоверные сведения, считается неучтенной.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31. В настоящих Правилах под единицей (объектом) определения характеристик сортиментов понимаются сортимент, штабель сортиментов или партия сортиментов.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32. Определение характеристик сортиментов с учетом потребности потребителей (покупателей) по согласованию с производителями (поставщиками) включает в себя определение объема, видового (породного) и сортиментного состава древесины.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При определении сортиментного состава производится осмотр торцов и видимой части боковой поверхности, оцениваются кривизна сортимента, диаметр сучков и высота их остатков, вид и размер гнили, цвет, форма и диаметр ядра, а также другие признаки, характеризующие особенности сортимента.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При определении объема древесины производятся необходимые измерения и вычисления в соответствии с методами, указанными в </w:t>
      </w:r>
      <w:hyperlink w:anchor="P151" w:history="1">
        <w:r>
          <w:rPr>
            <w:color w:val="0000FF"/>
          </w:rPr>
          <w:t>пунктах 37</w:t>
        </w:r>
      </w:hyperlink>
      <w:r>
        <w:t xml:space="preserve"> и </w:t>
      </w:r>
      <w:hyperlink w:anchor="P156" w:history="1">
        <w:r>
          <w:rPr>
            <w:color w:val="0000FF"/>
          </w:rPr>
          <w:t>38</w:t>
        </w:r>
      </w:hyperlink>
      <w:r>
        <w:t xml:space="preserve"> настоящих Правил, а также в </w:t>
      </w:r>
      <w:hyperlink r:id="rId40" w:history="1">
        <w:r>
          <w:rPr>
            <w:color w:val="0000FF"/>
          </w:rPr>
          <w:t>разделах 1</w:t>
        </w:r>
      </w:hyperlink>
      <w:r>
        <w:t xml:space="preserve"> - </w:t>
      </w:r>
      <w:hyperlink r:id="rId41" w:history="1">
        <w:r>
          <w:rPr>
            <w:color w:val="0000FF"/>
          </w:rPr>
          <w:t>7</w:t>
        </w:r>
      </w:hyperlink>
      <w:r>
        <w:t xml:space="preserve"> и </w:t>
      </w:r>
      <w:hyperlink r:id="rId42" w:history="1">
        <w:r>
          <w:rPr>
            <w:color w:val="0000FF"/>
          </w:rPr>
          <w:t>9</w:t>
        </w:r>
      </w:hyperlink>
      <w:r>
        <w:t xml:space="preserve"> ГОСТа 32594-2013 "Лесоматериалы круглые. Методы измерений", </w:t>
      </w:r>
      <w:hyperlink r:id="rId43" w:history="1">
        <w:r>
          <w:rPr>
            <w:color w:val="0000FF"/>
          </w:rPr>
          <w:t>разделах 1</w:t>
        </w:r>
      </w:hyperlink>
      <w:r>
        <w:t xml:space="preserve">, </w:t>
      </w:r>
      <w:hyperlink r:id="rId44" w:history="1">
        <w:r>
          <w:rPr>
            <w:color w:val="0000FF"/>
          </w:rPr>
          <w:t>2</w:t>
        </w:r>
      </w:hyperlink>
      <w:r>
        <w:t xml:space="preserve">, и </w:t>
      </w:r>
      <w:hyperlink r:id="rId45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46" w:history="1">
        <w:r>
          <w:rPr>
            <w:color w:val="0000FF"/>
          </w:rPr>
          <w:t>пунктов 6.4</w:t>
        </w:r>
      </w:hyperlink>
      <w:r>
        <w:t xml:space="preserve">, </w:t>
      </w:r>
      <w:hyperlink r:id="rId47" w:history="1">
        <w:r>
          <w:rPr>
            <w:color w:val="0000FF"/>
          </w:rPr>
          <w:t>6.5</w:t>
        </w:r>
      </w:hyperlink>
      <w:r>
        <w:t xml:space="preserve">) ГОСТ 9463-2016 "Лесоматериалы круглые хвойных пород. Технические условия", </w:t>
      </w:r>
      <w:hyperlink r:id="rId48" w:history="1">
        <w:r>
          <w:rPr>
            <w:color w:val="0000FF"/>
          </w:rPr>
          <w:t>разделах 1</w:t>
        </w:r>
      </w:hyperlink>
      <w:r>
        <w:t xml:space="preserve">, </w:t>
      </w:r>
      <w:hyperlink r:id="rId49" w:history="1">
        <w:r>
          <w:rPr>
            <w:color w:val="0000FF"/>
          </w:rPr>
          <w:t>2</w:t>
        </w:r>
      </w:hyperlink>
      <w:r>
        <w:t xml:space="preserve"> и </w:t>
      </w:r>
      <w:hyperlink r:id="rId50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51" w:history="1">
        <w:r>
          <w:rPr>
            <w:color w:val="0000FF"/>
          </w:rPr>
          <w:t>пунктов 6.4</w:t>
        </w:r>
      </w:hyperlink>
      <w:r>
        <w:t xml:space="preserve">, </w:t>
      </w:r>
      <w:hyperlink r:id="rId52" w:history="1">
        <w:r>
          <w:rPr>
            <w:color w:val="0000FF"/>
          </w:rPr>
          <w:t>6.5</w:t>
        </w:r>
      </w:hyperlink>
      <w:r>
        <w:t>) ГОСТ 9462-2016 "Лесоматериалы круглые лиственных пород. Технические условия".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33. Определение характеристик сортиментов осуществляется путем учета сортиментов - отнесения отдельных единиц определения характеристик к соответствующим породам и сортиментам по кодам Общероссийского </w:t>
      </w:r>
      <w:hyperlink r:id="rId53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 и определения объема сортиментов.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34. Учет сортиментов состоит из совокупности операций, зависящих от цели их проведения (хозяйственная, контрольная), заданной точности и места проведения. В зависимости от целей определения характеристик сортиментов используются следующие виды учета: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рабочий учет сортиментов - учет партии сортиментов, прошедшей определенную производственную, транспортную и коммерческую операцию или находящейся на хранении;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контрольный выборочный учет сортиментов (далее - контрольный учет) - учет штабелей из транспортных партий сортиментов, прошедших рабочий учет и отобранных в случайную выборку, выполняемый с использованием поштучного опорного метода для определения погрешностей рабочего учета и повышения его точности;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повторный учет партии сортиментов - учет партий сортиментов, который проводится рабочими методами, для проверки результатов первого учета той же самой партии сортиментов.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35. Результаты учета сортиментов фиксируются в плотных кубических метрах с округлением значения до 2 знаков после запятой при учете партии сортиментов и до 3 знаков - при поштучном обмере сортиментов.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Результаты определения сортиментов, транспортируемых в целях вывоза из Российской Федерации, перевозки по территории Российской Федерации под таможенным контролем, временного хранения, таможенного декларирования и выпуска, фиксируются в плотных кубических метрах с корой и с припусками с округлением значения до 3 знаков после запятой в соответствии с методиками (методами) измерений, применяемых при проведении таможенных </w:t>
      </w:r>
      <w:r>
        <w:lastRenderedPageBreak/>
        <w:t>операций и таможенном контроле.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36. Учет сортиментов проводится по объему содержащейся в них древесины без учета коры и припусков, за исключением древесины, являющейся предметом внешнеэкономических сделок. Учет сортиментов в целях вывоза из Российской Федерации осуществляется с указанием номинального объема (без учета коры и припусков) и фактического объема (с учетом коры и припусков).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37. При рабочем учете партий сортиментов используют групповые и поштучные методы учета сортиментов. Рабочий учет партии сортимента состоит из совокупности операций, включающих: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регистрацию реквизитов партии сортимента, подлежащей учету;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измерение общего объема партии сортимента;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определение видового (породного) и сортиментного состава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обработку и оформление результатов учета партии сортимента.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7" w:name="P156"/>
      <w:bookmarkEnd w:id="17"/>
      <w:r>
        <w:t>38. Данные контрольного учета применяются юридическими лицами и индивидуальными предпринимателями при необходимости повышения точности рабочих методов учета для соблюдения требований к установленным погрешностям. В качестве опорного метода выбирается наиболее точный метод поштучного учета, в том числе метод концевых сечений.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39. Контролируемой совокупностью сортимента считается партия сортимента, в отношении которой проводился рабочий учет и имелась возможность случайного отбора принятых штабелей в выборку для поштучного учета. Единицей случайного отбора сортимента в выборку контролируемой совокупности является штабель сортимента.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40. Если отклонение объема штабеля сортимента при рабочем измерении от объема того же штабеля, измеренного при выборочном контрольном учете, не превышает допускаемые погрешности измерения объема штабеля сортимента согласно </w:t>
      </w:r>
      <w:hyperlink w:anchor="P267" w:history="1">
        <w:r>
          <w:rPr>
            <w:color w:val="0000FF"/>
          </w:rPr>
          <w:t>приложению N 1</w:t>
        </w:r>
      </w:hyperlink>
      <w:r>
        <w:t>, считается, что контрольное измерение подтвердило результаты рабочего измерения. При нарушении этого условия окончательными признаются результаты контрольного учета с корректировкой по ним результатов рабочего учета партии сортимента в соответствующем разделе очередного отчета о ввезенной на склад или вывезенной со склада древесине (отчет о балансе древесины), отчета о древесине, которая поступает на объект лесоперерабатывающей инфраструктуры, древесине, которая перерабатывается (отчет о древесине), а также в иных документах первичного учета.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41. Результаты контрольного учета оформляются документально и используется при разработке мероприятий по соблюдению требований к погрешностям измерения объема сортиментов.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42. Юридические лица и индивидуальные предприниматели, осуществляющие учет древесины при приемке сортиментов на объекты лесоперерабатывающей инфраструктуры и учет при отгрузке сортиментов на экспорт, определяют необходимость организации проведения контрольного учета в целях контроля и регулирования погрешностей учета для соблюдения требований к погрешностям измерения объема самостоятельно.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43. Погрешность измерения групповыми методами партий сортимента объемом 15 куб. метров и более и поштучными методами партий сортимента объемом 10 куб. метров и более, состоящих из одного или нескольких штабелей контролируемой совокупности сортимента, зависит от объема партии и не должна превышать значения, предусмотренные </w:t>
      </w:r>
      <w:hyperlink w:anchor="P267" w:history="1">
        <w:r>
          <w:rPr>
            <w:color w:val="0000FF"/>
          </w:rPr>
          <w:t>приложением N 1</w:t>
        </w:r>
      </w:hyperlink>
      <w:r>
        <w:t xml:space="preserve"> к настоящим Правилам. Для партий сортиментов объемом менее объема, указанного в этом </w:t>
      </w:r>
      <w:hyperlink w:anchor="P267" w:history="1">
        <w:r>
          <w:rPr>
            <w:color w:val="0000FF"/>
          </w:rPr>
          <w:t>приложении</w:t>
        </w:r>
      </w:hyperlink>
      <w:r>
        <w:t>, погрешности не нормируются.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lastRenderedPageBreak/>
        <w:t>44. Результаты учета отдельных партий сортиментов при приемке на склад (как с переходом, так и без перехода права собственности на древесину) считаются окончательными, а результаты учета при отгрузке с лесосеки или с предыдущего склада - предварительными.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45. При организации использования лесов и при осуществлении мероприятий по их сохранению (на лесосеках) проводятся следующие операции рабочего учета сортиментов или контрольного учета: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учет заготовленных сортиментов, подлежащих вывозке или использованию на лесосеке;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учет расхода сортиментов на собственные нужды;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учет технологических потерь на лесосеке;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учет сортиментов, находящихся на хранении в штабелях на лесосеке;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учет транспортных партий сортиментов, отгружаемых для вывозки с лесосеки на склады назначения;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учет объема отгруженных сортиментов, но не принятых грузополучателем ("сортименты в пути");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ж) корректировка результатов учета отгруженных транспортных партий сортиментов по результатам учета при приемке сортиментов грузополучателем (при необходимости);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з) корректировка результатов первого учета сортиментов рабочим методом по результатам контрольного учета (при необходимости);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и) инвентаризация сортиментов на лесосеке и определение дебаланса объема по каждому из сортиментов;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к) корректировка объема заготовки каждого из сортиментов на выявленную величину его дебаланса (при необходимости).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46. При хранении (складировании) древесины проводятся следующие операции рабочего учета сортиментов или контрольного учета на складах: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учет поступающих на склад транспортных партий сортиментов, принятие решения об их приемке, отбор штабелей в случайную выборку для контрольного учета, а также фиксация (регистрация) места разгрузки;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контрольный поштучный учет штабеля (пучка при сплаве) из принятой транспортной партии сортимента при их попадании в случайную выборку. Объем случайной выборки штабелей сортимента, принятых за учетный период, определяется юридическим лицом и индивидуальным предпринимателем, являющимися собственниками древесины;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учет сортиментов транспортной партии или ее части (штабеля), не признанных годными при приемке (рекламационный штабель или партия сортиментов);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учет результатов пересортировки и доработки сортиментов на складе - приход или расход сортимента в результате выполнения этих операций;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учет расхода сортимента на собственные нужды;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учет технологических потерь сортимента;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ж) учет партий сортимента при отгрузке со склада;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lastRenderedPageBreak/>
        <w:t>з) корректировка результатов учета объема отгруженных со склада транспортных партий сортиментов по результатам их учета при приемке на складах назначения (при необходимости);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и) учет остатков сортимента на складе на конец отчетного периода;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к) корректировка результатов первого учета партии сортиментов рабочим методом по результатам контрольного учета в случае, если погрешность измерения объема древесины оказалась выше погрешности, предусмотренной </w:t>
      </w:r>
      <w:hyperlink w:anchor="P267" w:history="1">
        <w:r>
          <w:rPr>
            <w:color w:val="0000FF"/>
          </w:rPr>
          <w:t>приложением N 1</w:t>
        </w:r>
      </w:hyperlink>
      <w:r>
        <w:t xml:space="preserve"> к настоящим Правилам (при необходимости).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л) инвентаризация сортиментов и определение дебаланса по складу со списанием недостач и оприходованием излишков сортимента на складе.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47. При учете сортиментов, поступивших на объекты лесоперерабатывающей инфраструктуры для переработки, проводятся следующие операции рабочего учета сортиментов или контрольного учета на объектах лесоперерабатывающей инфраструктуры: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учет поступающих на объекты лесоперерабатывающей инфраструктуры транспортных партий сортиментов, принятие решения об их приемке, отбор штабеля в случайную выборку для контрольного учета, а также фиксация (регистрация) места разгрузки;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контрольный поштучный учет штабеля (пучка при сплаве) из принятой транспортной партии сортимента при их попадании в случайную выборку. Объем случайной выборки должен быть не менее 1 процента общего количества штабелей сортимента, принятых за учетный период;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учет сортиментов транспортной партии или ее части (штабеля), не признанных годными при приемке (рекламационный штабель или партия сортиментов);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учет результатов пересортировки и доработки сортиментов на объекте лесоперерабатывающей инфраструктуры - приход или расход сортимента в результате выполнения этих операций;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учет расхода сортимента на собственные нужды;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учет технологических потерь сортимента;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ж) учет партий сортимента при отгрузке с объекта лесоперерабатывающей инфраструктуры;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з) корректировка результатов учета объема отгруженных с объекта лесоперерабатывающей инфраструктуры транспортных партий сортиментов по результатам их учета при приемке на складах назначения (при необходимости);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и) учет остатков сортимента на объекте лесоперерабатывающей инфраструктуры на конец отчетного периода;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к) корректировка результатов первого учета партии сортиментов рабочим методом по результатам контрольного учета, если погрешность измерения объема древесины оказалась выше погрешности, предусмотренной </w:t>
      </w:r>
      <w:hyperlink w:anchor="P267" w:history="1">
        <w:r>
          <w:rPr>
            <w:color w:val="0000FF"/>
          </w:rPr>
          <w:t>приложением N 1</w:t>
        </w:r>
      </w:hyperlink>
      <w:r>
        <w:t xml:space="preserve"> к настоящим Правилам (при необходимости);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л) учет объемов древесины, поступившей в переработку, и после переработки;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м) инвентаризация сортиментов и определение дебаланса по объекту лесоперерабатывающей инфраструктуры со списанием недостач и оприходованием излишков сортимента на складе.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48. Повторный учет сортиментов проводится при приемке перевезенной партии сортиментов (первый рабочий учет производится при отгрузке партии). Повторный учет </w:t>
      </w:r>
      <w:r>
        <w:lastRenderedPageBreak/>
        <w:t>проводится с использованием норм воспроизводимости результатов измерения объема при повторном учете.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49. Воспроизводимость результатов измерения объема сортимента В</w:t>
      </w:r>
      <w:r>
        <w:rPr>
          <w:vertAlign w:val="subscript"/>
        </w:rPr>
        <w:t>V</w:t>
      </w:r>
      <w:r>
        <w:t xml:space="preserve"> определяется по формуле: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center"/>
      </w:pPr>
      <w:r w:rsidRPr="001F2A88">
        <w:rPr>
          <w:position w:val="-26"/>
        </w:rPr>
        <w:pict>
          <v:shape id="_x0000_i1025" style="width:96.75pt;height:37.5pt" coordsize="" o:spt="100" adj="0,,0" path="" filled="f" stroked="f">
            <v:stroke joinstyle="miter"/>
            <v:imagedata r:id="rId54" o:title="base_1_401760_32768"/>
            <v:formulas/>
            <v:path o:connecttype="segments"/>
          </v:shape>
        </w:pic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ind w:firstLine="540"/>
        <w:jc w:val="both"/>
      </w:pPr>
      <w:r>
        <w:t>где: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1</w:t>
      </w:r>
      <w:r>
        <w:t xml:space="preserve"> - объем партии сортимента при первом учете рабочим методом (например, при отгрузке);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2</w:t>
      </w:r>
      <w:r>
        <w:t xml:space="preserve"> - объем партии сортимента при повторном учете этой же партии рабочим методом (например, при приемке на складе назначения).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50. Воспроизводимость результатов измерения объема партии сортимента при повторном учете рабочими методами должна соответствовать нормам согласно </w:t>
      </w:r>
      <w:hyperlink w:anchor="P314" w:history="1">
        <w:r>
          <w:rPr>
            <w:color w:val="0000FF"/>
          </w:rPr>
          <w:t>приложению N 2</w:t>
        </w:r>
      </w:hyperlink>
      <w:r>
        <w:t>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51. В случае если воспроизводимость результатов измерения объема партии сортимента при перевозках между складами одной организации, поставках на склады покупателей сортимента или поставке на экспорт или в других случаях не соответствует установленным нормам воспроизводимости результатов измерений объема партии сортимента при повторном учете рабочими методами, то производится анализ причин такого несоответствия, оценка и регулирование погрешности измерения объема при отгрузке и при приемке по результатам контрольного учета.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52. При выявлении несоответствия нормам воспроизводимости при приемке по результатам учета на складе назначения результаты учета партии сортимента при отгрузке подлежат корректировке по результатам учета на складе назначения.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53. Покупатель (получатель) сортимента предоставляет продавцу (поставщику) результаты контрольного учета для своевременного устранения причин погрешности и соблюдения нормы воспроизводимости результатов измерения по объему (при необходимости).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54. Если воспроизводимость результатов измерений объема не превышает норм, предусмотренных </w:t>
      </w:r>
      <w:hyperlink w:anchor="P314" w:history="1">
        <w:r>
          <w:rPr>
            <w:color w:val="0000FF"/>
          </w:rPr>
          <w:t>приложением N 2</w:t>
        </w:r>
      </w:hyperlink>
      <w:r>
        <w:t xml:space="preserve"> к настоящим Правилам, считается, что обязательные требования выполнены.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55. Расхождение данных учета сортиментов, выполненного рабочим методом на определенный момент, с данными учета сортиментов по совокупности документов на тот же момент (далее - дебаланс) оценивается посредством измерения всего объема прихода и расхода сортиментов с учетом измерения остатков сортиментов.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56. Оборот сортимента (V</w:t>
      </w:r>
      <w:r>
        <w:rPr>
          <w:vertAlign w:val="subscript"/>
        </w:rPr>
        <w:t>Об</w:t>
      </w:r>
      <w:r>
        <w:t>) определяется (в кубических метрах) по формуле: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center"/>
      </w:pPr>
      <w:r>
        <w:t>V</w:t>
      </w:r>
      <w:r>
        <w:rPr>
          <w:vertAlign w:val="subscript"/>
        </w:rPr>
        <w:t>об</w:t>
      </w:r>
      <w:r>
        <w:t xml:space="preserve"> = V</w:t>
      </w:r>
      <w:r>
        <w:rPr>
          <w:vertAlign w:val="subscript"/>
        </w:rPr>
        <w:t>Н</w:t>
      </w:r>
      <w:r>
        <w:t xml:space="preserve"> + V</w:t>
      </w:r>
      <w:r>
        <w:rPr>
          <w:vertAlign w:val="subscript"/>
        </w:rPr>
        <w:t>ПРО</w:t>
      </w:r>
      <w:r>
        <w:t xml:space="preserve"> = V</w:t>
      </w:r>
      <w:r>
        <w:rPr>
          <w:vertAlign w:val="subscript"/>
        </w:rPr>
        <w:t>РО</w:t>
      </w:r>
      <w:r>
        <w:t xml:space="preserve"> + V</w:t>
      </w:r>
      <w:r>
        <w:rPr>
          <w:vertAlign w:val="subscript"/>
        </w:rPr>
        <w:t>К</w:t>
      </w:r>
      <w:r>
        <w:t>,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ind w:firstLine="540"/>
        <w:jc w:val="both"/>
      </w:pPr>
      <w:r>
        <w:t>где: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Н</w:t>
      </w:r>
      <w:r>
        <w:t xml:space="preserve"> - остаток сортимента на начало отчетного периода;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ПРО</w:t>
      </w:r>
      <w:r>
        <w:t xml:space="preserve"> - общий приход (приемка) сортимента в течение отчетного периода;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РО</w:t>
      </w:r>
      <w:r>
        <w:t xml:space="preserve"> - общий расход (отгрузка, внутреннее потребление, потери) сортимента в течение </w:t>
      </w:r>
      <w:r>
        <w:lastRenderedPageBreak/>
        <w:t>отчетного периода;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К</w:t>
      </w:r>
      <w:r>
        <w:t xml:space="preserve"> - остаток сортимента на конец отчетного периода.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57. Дебаланс объемов сортимента (D</w:t>
      </w:r>
      <w:r>
        <w:rPr>
          <w:vertAlign w:val="subscript"/>
        </w:rPr>
        <w:t>С</w:t>
      </w:r>
      <w:r>
        <w:t>) определяется (в кубических метрах) по формуле: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center"/>
      </w:pPr>
      <w:r>
        <w:t>D</w:t>
      </w:r>
      <w:r>
        <w:rPr>
          <w:vertAlign w:val="subscript"/>
        </w:rPr>
        <w:t>С</w:t>
      </w:r>
      <w:r>
        <w:t xml:space="preserve"> = (V</w:t>
      </w:r>
      <w:r>
        <w:rPr>
          <w:vertAlign w:val="subscript"/>
        </w:rPr>
        <w:t>Н</w:t>
      </w:r>
      <w:r>
        <w:t xml:space="preserve"> + V</w:t>
      </w:r>
      <w:r>
        <w:rPr>
          <w:vertAlign w:val="subscript"/>
        </w:rPr>
        <w:t>ПРО</w:t>
      </w:r>
      <w:r>
        <w:t>) - (V</w:t>
      </w:r>
      <w:r>
        <w:rPr>
          <w:vertAlign w:val="subscript"/>
        </w:rPr>
        <w:t>РО</w:t>
      </w:r>
      <w:r>
        <w:t xml:space="preserve"> + V</w:t>
      </w:r>
      <w:r>
        <w:rPr>
          <w:vertAlign w:val="subscript"/>
        </w:rPr>
        <w:t>К</w:t>
      </w:r>
      <w:r>
        <w:t>).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ind w:firstLine="540"/>
        <w:jc w:val="both"/>
      </w:pPr>
      <w:r>
        <w:t>58. Нормирование дебаланса сортимента (D</w:t>
      </w:r>
      <w:r>
        <w:rPr>
          <w:vertAlign w:val="subscript"/>
        </w:rPr>
        <w:t>С(норм)</w:t>
      </w:r>
      <w:r>
        <w:t>) определяется по формуле: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center"/>
      </w:pPr>
      <w:r w:rsidRPr="001F2A88">
        <w:rPr>
          <w:position w:val="-26"/>
        </w:rPr>
        <w:pict>
          <v:shape id="_x0000_i1026" style="width:164.25pt;height:37.5pt" coordsize="" o:spt="100" adj="0,,0" path="" filled="f" stroked="f">
            <v:stroke joinstyle="miter"/>
            <v:imagedata r:id="rId55" o:title="base_1_401760_32769"/>
            <v:formulas/>
            <v:path o:connecttype="segments"/>
          </v:shape>
        </w:pic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ind w:firstLine="540"/>
        <w:jc w:val="both"/>
      </w:pPr>
      <w:r>
        <w:t xml:space="preserve">59. Установленный при учете сортиментов дебаланс объема каждого сортимента за отчетный период не должен превышать норм согласно </w:t>
      </w:r>
      <w:hyperlink w:anchor="P341" w:history="1">
        <w:r>
          <w:rPr>
            <w:color w:val="0000FF"/>
          </w:rPr>
          <w:t>приложению N 3</w:t>
        </w:r>
      </w:hyperlink>
      <w:r>
        <w:t>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60. Дебаланс сортимента на лесосеке корректируется изменением объема заготовки сортимента по окончании вывозки древесины с лесосеки. Дебаланс сортимента в местах (пунктах) складирования или на объекте лесоперерабатывающей инфраструктуры отражается в документе о списании недостачи и оприходовании излишков сортимента, в котором для каждого из сортиментов указываются выявленные и подлежащие: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списанию недостачи в пределах установленных норм дебаланса;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списанию недостачи сверх установленных норм дебаланса;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оприходованию излишки сортимента в пределах норм дебаланса;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оприходованию излишки сверх установленных норм дебаланса.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61. Лица, осуществляющие заготовку древесины, а также владеющие на праве собственности или ином законном основании местами (пунктами) складирования древесины, объектами лесоперерабатывающей инфраструктуры, осуществляют инвентаризацию древесины в месте складирования или на объекте лесоперерабатывающей инфраструктуры.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Под инвентаризацией древесины в настоящих Правилах понимается производственный учет рабочими методами всех штабелей и партий древесины, хранящихся на лесосеке, в месте складирования или на объекте лесоперерабатывающей инфраструктуры на момент проведения инвентаризации древесины.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62. При инвентаризации древесины определяются объемы фактических остатков сортиментов, которые используются для определения дебаланса древесины. Инвентаризация древесины на лесосеке проводится по окончании вывозки древесины с лесосеки. Инвентаризация древесины на складе или объекте лесоперерабатывающей инфраструктуры проводится в соответствии с требованиями, установленными законодательством Российской Федерации о бухгалтерском учете, но не реже одного раза в год. По результатам инвентаризации древесины составляется документ о списании недостач и оприходовании излишков сортиментов на лесосеке или в месте складирования.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63. В случае если дебаланс не соответствует установленным нормам дебаланса объемов сортимента при инвентаризации древесины рабочими методами, производится анализ причин такого несоответствия, оценка и регулирование погрешности измерения объема при отгрузке и при приемке по результатам контрольного учета.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64. Если значение дебаланса не превышает установленных норм дебаланса объемов </w:t>
      </w:r>
      <w:r>
        <w:lastRenderedPageBreak/>
        <w:t xml:space="preserve">сортимента, предусмотренных </w:t>
      </w:r>
      <w:hyperlink w:anchor="P341" w:history="1">
        <w:r>
          <w:rPr>
            <w:color w:val="0000FF"/>
          </w:rPr>
          <w:t>приложением N 3</w:t>
        </w:r>
      </w:hyperlink>
      <w:r>
        <w:t xml:space="preserve"> к настоящим Правилам, считается, что обязательные требования выполнены.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 xml:space="preserve">65. Технологическими потерями древесины признаются потери при производстве и (или) транспортировке товаров (работ, услуг), обусловленные технологическими особенностями производственного цикла и (или) процесса транспортировки, а также физико-химическими характеристиками применяемого сырья в соответствии с </w:t>
      </w:r>
      <w:hyperlink r:id="rId56" w:history="1">
        <w:r>
          <w:rPr>
            <w:color w:val="0000FF"/>
          </w:rPr>
          <w:t>подпунктом 3 пункта 7 статьи 254</w:t>
        </w:r>
      </w:hyperlink>
      <w:r>
        <w:t xml:space="preserve"> Налогового кодекса Российской Федерации.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66. Учет технологических потерь древесины проводится с использованием следующей классификации: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некондиционная древесина - стволы или части стволов сваленных деревьев, не подлежащие переработке или вывозке с лесосеки;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опилки при поперечной распиловке;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лом, бой древесины - остатки хлыстов, сортиментов, образовавшихся из-за механических повреждений при трелевке или при погрузочно-разгрузочных операциях;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припуски по длине у мерных сортиментов - участки длины бревен, не учитываемые из-за того, что номинальная длина в сумме с припуском по длине сортимента меньше средней длины бревен в партии;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д) снижение качества сортиментов при хранении - уменьшение при хранении объема бревен, соответствующих требованиям к ценным сортиментам, и одновременное увеличение объема сортиментов (балансы, дрова), для которых установлены более низкие требования или отсутствуют требования к дефектам, возникающим при хранении (грибные окраски, гниль, трещины или червоточины);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е) потери сортиментов при транспортировании сплавом в плотах.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67. В зависимости от производственных условий учет технологических потерь проводится путем: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прямых измерений объема технологических потерь при заготовке сортиментов или при других операциях методами рабочего учета сортиментов, если измерение технологических потерь предусмотрено применяемым методом;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вычисления объема технологических потерь сортимента на определенной операции умножением нормы технологических потерь, установленной для этой операции, на объем сортимента, для которого проведена эта операция;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в) установления и документарной фиксации объема потерь из-за случайных событий (аварии, природные условия и др.) с указанием причин;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г) суммирование объемов технологических потерь по операциям.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68. Технологические потери сортиментов учитываются юридическими лицами или индивидуальными предпринимателями, являющимися собственниками объектов лесоперерабатывающей инфраструктуры, в технологических картах, сметах технологических процессов или иных аналогичных документах не реже одного раза в 5 лет. При изменении факторов, оказывающих влияние на объем технологических потерь, проводится внеплановая разработка норм технологических потерь.</w:t>
      </w:r>
    </w:p>
    <w:p w:rsidR="00FE3442" w:rsidRDefault="00FE3442">
      <w:pPr>
        <w:pStyle w:val="ConsPlusNormal"/>
        <w:spacing w:before="220"/>
        <w:ind w:firstLine="540"/>
        <w:jc w:val="both"/>
      </w:pPr>
      <w:bookmarkStart w:id="18" w:name="P255"/>
      <w:bookmarkEnd w:id="18"/>
      <w:r>
        <w:t xml:space="preserve">69. Партия сортимента считается соответствующей требованиям спецификации сортимента </w:t>
      </w:r>
      <w:r>
        <w:lastRenderedPageBreak/>
        <w:t>по качеству в следующих случаях: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а) объем сортиментов, имеющих значительные дефекты (исключающие их отнесение к поименованным сортиментам), в партии сортимента составляет не более 10 процентов общего объема партии;</w:t>
      </w:r>
    </w:p>
    <w:p w:rsidR="00FE3442" w:rsidRDefault="00FE3442">
      <w:pPr>
        <w:pStyle w:val="ConsPlusNormal"/>
        <w:spacing w:before="220"/>
        <w:ind w:firstLine="540"/>
        <w:jc w:val="both"/>
      </w:pPr>
      <w:r>
        <w:t>б) объем сортиментов, имеющих характеристики, позволяющие отнести их к сортиментам с высокой коммерческой ценностью, в партии сортимента составляет не более 12 процентов общего объема партии.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right"/>
        <w:outlineLvl w:val="1"/>
      </w:pPr>
      <w:r>
        <w:t>Приложение N 1</w:t>
      </w:r>
    </w:p>
    <w:p w:rsidR="00FE3442" w:rsidRDefault="00FE3442">
      <w:pPr>
        <w:pStyle w:val="ConsPlusNormal"/>
        <w:jc w:val="right"/>
      </w:pPr>
      <w:r>
        <w:t>к Правилам определения характеристик</w:t>
      </w:r>
    </w:p>
    <w:p w:rsidR="00FE3442" w:rsidRDefault="00FE3442">
      <w:pPr>
        <w:pStyle w:val="ConsPlusNormal"/>
        <w:jc w:val="right"/>
      </w:pPr>
      <w:r>
        <w:t>древесины и учета древесины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Title"/>
        <w:jc w:val="center"/>
      </w:pPr>
      <w:bookmarkStart w:id="19" w:name="P267"/>
      <w:bookmarkEnd w:id="19"/>
      <w:r>
        <w:t>ДОПУСКАЕМЫЕ ПОГРЕШНОСТИ ИЗМЕРЕНИЯ ОБЪЕМА ПАРТИИ СОРТИМЕНТА</w:t>
      </w:r>
    </w:p>
    <w:p w:rsidR="00FE3442" w:rsidRDefault="00FE3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FE3442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3442" w:rsidRDefault="00FE3442">
            <w:pPr>
              <w:pStyle w:val="ConsPlusNormal"/>
              <w:jc w:val="center"/>
            </w:pPr>
            <w:r>
              <w:t>Объем партии сортимента, куб. м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Допускаемая погрешность измерения, процентов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  <w:outlineLvl w:val="2"/>
            </w:pPr>
            <w:r>
              <w:t>Измерение партии сортимента групповыми рабочими методами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15 до 29,99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27" style="width:12pt;height:13.5pt" coordsize="" o:spt="100" adj="0,,0" path="" filled="f" stroked="f">
                  <v:stroke joinstyle="miter"/>
                  <v:imagedata r:id="rId57" o:title="base_1_401760_32770"/>
                  <v:formulas/>
                  <v:path o:connecttype="segments"/>
                </v:shape>
              </w:pict>
            </w:r>
            <w:r>
              <w:t xml:space="preserve"> 15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30 до 59,99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28" style="width:12pt;height:13.5pt" coordsize="" o:spt="100" adj="0,,0" path="" filled="f" stroked="f">
                  <v:stroke joinstyle="miter"/>
                  <v:imagedata r:id="rId57" o:title="base_1_401760_32771"/>
                  <v:formulas/>
                  <v:path o:connecttype="segments"/>
                </v:shape>
              </w:pict>
            </w:r>
            <w:r>
              <w:t xml:space="preserve"> 12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60 до 119,99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29" style="width:12pt;height:13.5pt" coordsize="" o:spt="100" adj="0,,0" path="" filled="f" stroked="f">
                  <v:stroke joinstyle="miter"/>
                  <v:imagedata r:id="rId57" o:title="base_1_401760_32772"/>
                  <v:formulas/>
                  <v:path o:connecttype="segments"/>
                </v:shape>
              </w:pict>
            </w:r>
            <w:r>
              <w:t xml:space="preserve"> 8,8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120 до 199,99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0" style="width:12pt;height:13.5pt" coordsize="" o:spt="100" adj="0,,0" path="" filled="f" stroked="f">
                  <v:stroke joinstyle="miter"/>
                  <v:imagedata r:id="rId57" o:title="base_1_401760_32773"/>
                  <v:formulas/>
                  <v:path o:connecttype="segments"/>
                </v:shape>
              </w:pict>
            </w:r>
            <w:r>
              <w:t xml:space="preserve"> 6,5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200 до 299,99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1" style="width:12pt;height:13.5pt" coordsize="" o:spt="100" adj="0,,0" path="" filled="f" stroked="f">
                  <v:stroke joinstyle="miter"/>
                  <v:imagedata r:id="rId57" o:title="base_1_401760_32774"/>
                  <v:formulas/>
                  <v:path o:connecttype="segments"/>
                </v:shape>
              </w:pict>
            </w:r>
            <w:r>
              <w:t xml:space="preserve"> 4,8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300 до 449,99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2" style="width:12pt;height:13.5pt" coordsize="" o:spt="100" adj="0,,0" path="" filled="f" stroked="f">
                  <v:stroke joinstyle="miter"/>
                  <v:imagedata r:id="rId57" o:title="base_1_401760_32775"/>
                  <v:formulas/>
                  <v:path o:connecttype="segments"/>
                </v:shape>
              </w:pict>
            </w:r>
            <w:r>
              <w:t xml:space="preserve"> 4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450 до 599,99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3" style="width:12pt;height:13.5pt" coordsize="" o:spt="100" adj="0,,0" path="" filled="f" stroked="f">
                  <v:stroke joinstyle="miter"/>
                  <v:imagedata r:id="rId57" o:title="base_1_401760_32776"/>
                  <v:formulas/>
                  <v:path o:connecttype="segments"/>
                </v:shape>
              </w:pict>
            </w:r>
            <w:r>
              <w:t xml:space="preserve"> 3,4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600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4" style="width:12pt;height:13.5pt" coordsize="" o:spt="100" adj="0,,0" path="" filled="f" stroked="f">
                  <v:stroke joinstyle="miter"/>
                  <v:imagedata r:id="rId57" o:title="base_1_401760_32777"/>
                  <v:formulas/>
                  <v:path o:connecttype="segments"/>
                </v:shape>
              </w:pict>
            </w:r>
            <w:r>
              <w:t xml:space="preserve"> 3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  <w:outlineLvl w:val="2"/>
            </w:pPr>
            <w:r>
              <w:t>Измерение партии сортимента поштучными рабочими методами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10 до 14,99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5" style="width:12pt;height:13.5pt" coordsize="" o:spt="100" adj="0,,0" path="" filled="f" stroked="f">
                  <v:stroke joinstyle="miter"/>
                  <v:imagedata r:id="rId57" o:title="base_1_401760_32778"/>
                  <v:formulas/>
                  <v:path o:connecttype="segments"/>
                </v:shape>
              </w:pict>
            </w:r>
            <w:r>
              <w:t xml:space="preserve"> 12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15 до 29,99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6" style="width:12pt;height:13.5pt" coordsize="" o:spt="100" adj="0,,0" path="" filled="f" stroked="f">
                  <v:stroke joinstyle="miter"/>
                  <v:imagedata r:id="rId57" o:title="base_1_401760_32779"/>
                  <v:formulas/>
                  <v:path o:connecttype="segments"/>
                </v:shape>
              </w:pict>
            </w:r>
            <w:r>
              <w:t xml:space="preserve"> 8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30 до 59,99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7" style="width:12pt;height:13.5pt" coordsize="" o:spt="100" adj="0,,0" path="" filled="f" stroked="f">
                  <v:stroke joinstyle="miter"/>
                  <v:imagedata r:id="rId57" o:title="base_1_401760_32780"/>
                  <v:formulas/>
                  <v:path o:connecttype="segments"/>
                </v:shape>
              </w:pict>
            </w:r>
            <w:r>
              <w:t xml:space="preserve"> 6,6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60 до 119,99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8" style="width:12pt;height:13.5pt" coordsize="" o:spt="100" adj="0,,0" path="" filled="f" stroked="f">
                  <v:stroke joinstyle="miter"/>
                  <v:imagedata r:id="rId57" o:title="base_1_401760_32781"/>
                  <v:formulas/>
                  <v:path o:connecttype="segments"/>
                </v:shape>
              </w:pict>
            </w:r>
            <w:r>
              <w:t xml:space="preserve"> 5,2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120 до 199,99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39" style="width:12pt;height:13.5pt" coordsize="" o:spt="100" adj="0,,0" path="" filled="f" stroked="f">
                  <v:stroke joinstyle="miter"/>
                  <v:imagedata r:id="rId57" o:title="base_1_401760_32782"/>
                  <v:formulas/>
                  <v:path o:connecttype="segments"/>
                </v:shape>
              </w:pict>
            </w:r>
            <w:r>
              <w:t xml:space="preserve"> 4,2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200 до 299,99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0" style="width:12pt;height:13.5pt" coordsize="" o:spt="100" adj="0,,0" path="" filled="f" stroked="f">
                  <v:stroke joinstyle="miter"/>
                  <v:imagedata r:id="rId57" o:title="base_1_401760_32783"/>
                  <v:formulas/>
                  <v:path o:connecttype="segments"/>
                </v:shape>
              </w:pict>
            </w:r>
            <w:r>
              <w:t xml:space="preserve"> 3,5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lastRenderedPageBreak/>
              <w:t>от 300 до 399,99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1" style="width:12pt;height:13.5pt" coordsize="" o:spt="100" adj="0,,0" path="" filled="f" stroked="f">
                  <v:stroke joinstyle="miter"/>
                  <v:imagedata r:id="rId57" o:title="base_1_401760_32784"/>
                  <v:formulas/>
                  <v:path o:connecttype="segments"/>
                </v:shape>
              </w:pict>
            </w:r>
            <w:r>
              <w:t xml:space="preserve"> 3,1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400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2" style="width:12pt;height:13.5pt" coordsize="" o:spt="100" adj="0,,0" path="" filled="f" stroked="f">
                  <v:stroke joinstyle="miter"/>
                  <v:imagedata r:id="rId57" o:title="base_1_401760_32785"/>
                  <v:formulas/>
                  <v:path o:connecttype="segments"/>
                </v:shape>
              </w:pict>
            </w:r>
            <w:r>
              <w:t xml:space="preserve"> 3</w:t>
            </w:r>
          </w:p>
        </w:tc>
      </w:tr>
    </w:tbl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right"/>
        <w:outlineLvl w:val="1"/>
      </w:pPr>
      <w:r>
        <w:t>Приложение N 2</w:t>
      </w:r>
    </w:p>
    <w:p w:rsidR="00FE3442" w:rsidRDefault="00FE3442">
      <w:pPr>
        <w:pStyle w:val="ConsPlusNormal"/>
        <w:jc w:val="right"/>
      </w:pPr>
      <w:r>
        <w:t>к Правилам определения характеристик</w:t>
      </w:r>
    </w:p>
    <w:p w:rsidR="00FE3442" w:rsidRDefault="00FE3442">
      <w:pPr>
        <w:pStyle w:val="ConsPlusNormal"/>
        <w:jc w:val="right"/>
      </w:pPr>
      <w:r>
        <w:t>древесины и учета древесины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Title"/>
        <w:jc w:val="center"/>
      </w:pPr>
      <w:bookmarkStart w:id="20" w:name="P314"/>
      <w:bookmarkEnd w:id="20"/>
      <w:r>
        <w:t>НОРМЫ</w:t>
      </w:r>
    </w:p>
    <w:p w:rsidR="00FE3442" w:rsidRDefault="00FE3442">
      <w:pPr>
        <w:pStyle w:val="ConsPlusTitle"/>
        <w:jc w:val="center"/>
      </w:pPr>
      <w:r>
        <w:t>ВОСПРОИЗВОДИМОСТИ РЕЗУЛЬТАТОВ ИЗМЕРЕНИЙ ОБЪЕМА ПАРТИИ</w:t>
      </w:r>
    </w:p>
    <w:p w:rsidR="00FE3442" w:rsidRDefault="00FE3442">
      <w:pPr>
        <w:pStyle w:val="ConsPlusTitle"/>
        <w:jc w:val="center"/>
      </w:pPr>
      <w:r>
        <w:t>СОРТИМЕНТА ПРИ ПОВТОРНОМ УЧЕТЕ РАБОЧИМИ МЕТОДАМИ</w:t>
      </w:r>
    </w:p>
    <w:p w:rsidR="00FE3442" w:rsidRDefault="00FE3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FE3442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3442" w:rsidRDefault="00FE3442">
            <w:pPr>
              <w:pStyle w:val="ConsPlusNormal"/>
              <w:jc w:val="center"/>
            </w:pPr>
            <w:r>
              <w:t>Объем партии сортимента, куб. м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Норма воспроизводимости результатов измерения объема партии, процентов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  <w:outlineLvl w:val="2"/>
            </w:pPr>
            <w:r>
              <w:t>При проведении первого и повторного измерения поштучными рабочими методами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до 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3" style="width:12pt;height:13.5pt" coordsize="" o:spt="100" adj="0,,0" path="" filled="f" stroked="f">
                  <v:stroke joinstyle="miter"/>
                  <v:imagedata r:id="rId57" o:title="base_1_401760_32786"/>
                  <v:formulas/>
                  <v:path o:connecttype="segments"/>
                </v:shape>
              </w:pict>
            </w:r>
            <w:r>
              <w:t xml:space="preserve"> 8 процентов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10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4" style="width:12pt;height:13.5pt" coordsize="" o:spt="100" adj="0,,0" path="" filled="f" stroked="f">
                  <v:stroke joinstyle="miter"/>
                  <v:imagedata r:id="rId57" o:title="base_1_401760_32787"/>
                  <v:formulas/>
                  <v:path o:connecttype="segments"/>
                </v:shape>
              </w:pict>
            </w:r>
            <w:r>
              <w:t xml:space="preserve"> 5 процентов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  <w:outlineLvl w:val="2"/>
            </w:pPr>
            <w:r>
              <w:t>При проведении одного или обоих измерений групповыми рабочими методами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до 69,99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5" style="width:12pt;height:13.5pt" coordsize="" o:spt="100" adj="0,,0" path="" filled="f" stroked="f">
                  <v:stroke joinstyle="miter"/>
                  <v:imagedata r:id="rId57" o:title="base_1_401760_32788"/>
                  <v:formulas/>
                  <v:path o:connecttype="segments"/>
                </v:shape>
              </w:pict>
            </w:r>
            <w:r>
              <w:t xml:space="preserve"> 15 процентов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от 70 до 399,99 куб. 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6" style="width:12pt;height:13.5pt" coordsize="" o:spt="100" adj="0,,0" path="" filled="f" stroked="f">
                  <v:stroke joinstyle="miter"/>
                  <v:imagedata r:id="rId57" o:title="base_1_401760_32789"/>
                  <v:formulas/>
                  <v:path o:connecttype="segments"/>
                </v:shape>
              </w:pict>
            </w:r>
            <w:r>
              <w:t xml:space="preserve"> 8 процентов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400 куб. м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7" style="width:12pt;height:13.5pt" coordsize="" o:spt="100" adj="0,,0" path="" filled="f" stroked="f">
                  <v:stroke joinstyle="miter"/>
                  <v:imagedata r:id="rId57" o:title="base_1_401760_32790"/>
                  <v:formulas/>
                  <v:path o:connecttype="segments"/>
                </v:shape>
              </w:pict>
            </w:r>
            <w:r>
              <w:t xml:space="preserve"> 5 процентов</w:t>
            </w:r>
          </w:p>
        </w:tc>
      </w:tr>
    </w:tbl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right"/>
        <w:outlineLvl w:val="1"/>
      </w:pPr>
      <w:r>
        <w:t>Приложение N 3</w:t>
      </w:r>
    </w:p>
    <w:p w:rsidR="00FE3442" w:rsidRDefault="00FE3442">
      <w:pPr>
        <w:pStyle w:val="ConsPlusNormal"/>
        <w:jc w:val="right"/>
      </w:pPr>
      <w:r>
        <w:t>к Правилам определения характеристик</w:t>
      </w:r>
    </w:p>
    <w:p w:rsidR="00FE3442" w:rsidRDefault="00FE3442">
      <w:pPr>
        <w:pStyle w:val="ConsPlusNormal"/>
        <w:jc w:val="right"/>
      </w:pPr>
      <w:r>
        <w:t>древесины и учета древесины</w:t>
      </w: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Title"/>
        <w:jc w:val="center"/>
      </w:pPr>
      <w:bookmarkStart w:id="21" w:name="P341"/>
      <w:bookmarkEnd w:id="21"/>
      <w:r>
        <w:t>НОРМЫ ДЕБАЛАНСА ОБЪЕМОВ СОРТИМЕНТОВ</w:t>
      </w:r>
    </w:p>
    <w:p w:rsidR="00FE3442" w:rsidRDefault="00FE3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7"/>
        <w:gridCol w:w="1247"/>
        <w:gridCol w:w="3912"/>
      </w:tblGrid>
      <w:tr w:rsidR="00FE3442"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3442" w:rsidRDefault="00FE3442">
            <w:pPr>
              <w:pStyle w:val="ConsPlusNormal"/>
              <w:jc w:val="center"/>
            </w:pPr>
            <w:r>
              <w:t>Сумма объемов сортимента, использованных при определении дебаланса, куб. м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Норма дебаланса, процентов</w:t>
            </w:r>
          </w:p>
        </w:tc>
      </w:tr>
      <w:tr w:rsidR="00FE3442"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3442" w:rsidRDefault="00FE3442">
            <w:pPr>
              <w:spacing w:after="1" w:line="0" w:lineRule="atLeast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E3442" w:rsidRDefault="00FE3442">
            <w:pPr>
              <w:pStyle w:val="ConsPlusNormal"/>
              <w:jc w:val="center"/>
            </w:pPr>
            <w:r>
              <w:t>лесосека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место (пункт) складирования сортиментов, объект лесоперерабатывающей инфраструктуры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До 399,99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8" style="width:12pt;height:13.5pt" coordsize="" o:spt="100" adj="0,,0" path="" filled="f" stroked="f">
                  <v:stroke joinstyle="miter"/>
                  <v:imagedata r:id="rId57" o:title="base_1_401760_32791"/>
                  <v:formulas/>
                  <v:path o:connecttype="segments"/>
                </v:shape>
              </w:pict>
            </w:r>
            <w:r>
              <w:t xml:space="preserve"> 11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49" style="width:12pt;height:13.5pt" coordsize="" o:spt="100" adj="0,,0" path="" filled="f" stroked="f">
                  <v:stroke joinstyle="miter"/>
                  <v:imagedata r:id="rId57" o:title="base_1_401760_32792"/>
                  <v:formulas/>
                  <v:path o:connecttype="segments"/>
                </v:shape>
              </w:pict>
            </w:r>
            <w:r>
              <w:t xml:space="preserve"> 9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400 - 799,99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0" style="width:12pt;height:13.5pt" coordsize="" o:spt="100" adj="0,,0" path="" filled="f" stroked="f">
                  <v:stroke joinstyle="miter"/>
                  <v:imagedata r:id="rId57" o:title="base_1_401760_32793"/>
                  <v:formulas/>
                  <v:path o:connecttype="segments"/>
                </v:shape>
              </w:pict>
            </w:r>
            <w:r>
              <w:t xml:space="preserve"> 9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1" style="width:12pt;height:13.5pt" coordsize="" o:spt="100" adj="0,,0" path="" filled="f" stroked="f">
                  <v:stroke joinstyle="miter"/>
                  <v:imagedata r:id="rId57" o:title="base_1_401760_32794"/>
                  <v:formulas/>
                  <v:path o:connecttype="segments"/>
                </v:shape>
              </w:pict>
            </w:r>
            <w:r>
              <w:t xml:space="preserve"> 7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lastRenderedPageBreak/>
              <w:t>800 - 1999,99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2" style="width:12pt;height:13.5pt" coordsize="" o:spt="100" adj="0,,0" path="" filled="f" stroked="f">
                  <v:stroke joinstyle="miter"/>
                  <v:imagedata r:id="rId57" o:title="base_1_401760_32795"/>
                  <v:formulas/>
                  <v:path o:connecttype="segments"/>
                </v:shape>
              </w:pict>
            </w:r>
            <w:r>
              <w:t xml:space="preserve"> 7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3" style="width:12pt;height:13.5pt" coordsize="" o:spt="100" adj="0,,0" path="" filled="f" stroked="f">
                  <v:stroke joinstyle="miter"/>
                  <v:imagedata r:id="rId57" o:title="base_1_401760_32796"/>
                  <v:formulas/>
                  <v:path o:connecttype="segments"/>
                </v:shape>
              </w:pict>
            </w:r>
            <w:r>
              <w:t xml:space="preserve"> 5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2000 - 3599,99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4" style="width:12pt;height:13.5pt" coordsize="" o:spt="100" adj="0,,0" path="" filled="f" stroked="f">
                  <v:stroke joinstyle="miter"/>
                  <v:imagedata r:id="rId57" o:title="base_1_401760_32797"/>
                  <v:formulas/>
                  <v:path o:connecttype="segments"/>
                </v:shape>
              </w:pict>
            </w:r>
            <w:r>
              <w:t xml:space="preserve"> 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5" style="width:12pt;height:13.5pt" coordsize="" o:spt="100" adj="0,,0" path="" filled="f" stroked="f">
                  <v:stroke joinstyle="miter"/>
                  <v:imagedata r:id="rId57" o:title="base_1_401760_32798"/>
                  <v:formulas/>
                  <v:path o:connecttype="segments"/>
                </v:shape>
              </w:pict>
            </w:r>
            <w:r>
              <w:t xml:space="preserve"> 4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3600 - 9999,99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6" style="width:12pt;height:13.5pt" coordsize="" o:spt="100" adj="0,,0" path="" filled="f" stroked="f">
                  <v:stroke joinstyle="miter"/>
                  <v:imagedata r:id="rId57" o:title="base_1_401760_32799"/>
                  <v:formulas/>
                  <v:path o:connecttype="segments"/>
                </v:shape>
              </w:pict>
            </w:r>
            <w:r>
              <w:t xml:space="preserve"> 5,5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7" style="width:12pt;height:13.5pt" coordsize="" o:spt="100" adj="0,,0" path="" filled="f" stroked="f">
                  <v:stroke joinstyle="miter"/>
                  <v:imagedata r:id="rId57" o:title="base_1_401760_32800"/>
                  <v:formulas/>
                  <v:path o:connecttype="segments"/>
                </v:shape>
              </w:pict>
            </w:r>
            <w:r>
              <w:t xml:space="preserve"> 3,5</w:t>
            </w:r>
          </w:p>
        </w:tc>
      </w:tr>
      <w:tr w:rsidR="00FE3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>
              <w:t>10000 и более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8" style="width:12pt;height:13.5pt" coordsize="" o:spt="100" adj="0,,0" path="" filled="f" stroked="f">
                  <v:stroke joinstyle="miter"/>
                  <v:imagedata r:id="rId57" o:title="base_1_401760_32801"/>
                  <v:formulas/>
                  <v:path o:connecttype="segments"/>
                </v:shape>
              </w:pict>
            </w:r>
            <w:r>
              <w:t xml:space="preserve"> 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442" w:rsidRDefault="00FE3442">
            <w:pPr>
              <w:pStyle w:val="ConsPlusNormal"/>
              <w:jc w:val="center"/>
            </w:pPr>
            <w:r w:rsidRPr="001F2A88">
              <w:rPr>
                <w:position w:val="-2"/>
              </w:rPr>
              <w:pict>
                <v:shape id="_x0000_i1059" style="width:12pt;height:13.5pt" coordsize="" o:spt="100" adj="0,,0" path="" filled="f" stroked="f">
                  <v:stroke joinstyle="miter"/>
                  <v:imagedata r:id="rId57" o:title="base_1_401760_32802"/>
                  <v:formulas/>
                  <v:path o:connecttype="segments"/>
                </v:shape>
              </w:pict>
            </w:r>
            <w:r>
              <w:t xml:space="preserve"> 3</w:t>
            </w:r>
          </w:p>
        </w:tc>
      </w:tr>
    </w:tbl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jc w:val="both"/>
      </w:pPr>
    </w:p>
    <w:p w:rsidR="00FE3442" w:rsidRDefault="00FE34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442"/>
    <w:rsid w:val="000C11A9"/>
    <w:rsid w:val="0032276D"/>
    <w:rsid w:val="008D7B48"/>
    <w:rsid w:val="009F3D39"/>
    <w:rsid w:val="00FE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3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07BF2BAB503FED237795504FB43C4C08B874CF2EA0AD06CB5DD000061443F353E6C445CE07ABF3CB95DB03OB1BE" TargetMode="External"/><Relationship Id="rId18" Type="http://schemas.openxmlformats.org/officeDocument/2006/relationships/hyperlink" Target="consultantplus://offline/ref=3307BF2BAB503FED237795504FB43C4C0CB677C024FDA70E9251D207094B46E642BECB43D419A8EED797D9O013E" TargetMode="External"/><Relationship Id="rId26" Type="http://schemas.openxmlformats.org/officeDocument/2006/relationships/hyperlink" Target="consultantplus://offline/ref=3307BF2BAB503FED23778A454AB43C4C09B772C72EA8F00CC304DC02011B1CF654F7C446CA19AEF6D79C8F50FD164C7A3FB357E497E0E477OD1DE" TargetMode="External"/><Relationship Id="rId39" Type="http://schemas.openxmlformats.org/officeDocument/2006/relationships/hyperlink" Target="consultantplus://offline/ref=3307BF2BAB503FED23778A454AB43C4C0EBF74C72EA2F00CC304DC02011B1CF646F79C4AC81DB5F0D689D901BBO411E" TargetMode="External"/><Relationship Id="rId21" Type="http://schemas.openxmlformats.org/officeDocument/2006/relationships/hyperlink" Target="consultantplus://offline/ref=3307BF2BAB503FED237795504FB43C4C0BBB7FCE2AA0AD06CB5DD000061443F353E6C445CE07ABF3CB95DB03OB1BE" TargetMode="External"/><Relationship Id="rId34" Type="http://schemas.openxmlformats.org/officeDocument/2006/relationships/hyperlink" Target="consultantplus://offline/ref=3307BF2BAB503FED23778A454AB43C4C09B772C72EA8F00CC304DC02011B1CF654F7C446CA19AEF6D79C8F50FD164C7A3FB357E497E0E477OD1DE" TargetMode="External"/><Relationship Id="rId42" Type="http://schemas.openxmlformats.org/officeDocument/2006/relationships/hyperlink" Target="consultantplus://offline/ref=3307BF2BAB503FED237795504FB43C4C0BB670C22CA0AD06CB5DD000061443E153BEC847C91EA3F9DEC38A45EC4E437C25AD54F98BE2E6O717E" TargetMode="External"/><Relationship Id="rId47" Type="http://schemas.openxmlformats.org/officeDocument/2006/relationships/hyperlink" Target="consultantplus://offline/ref=3307BF2BAB503FED237795504FB43C4C08BE71CE28A0AD06CB5DD000061443E153BEC847CA1BAFF6DEC38A45EC4E437C25AD54F98BE2E6O717E" TargetMode="External"/><Relationship Id="rId50" Type="http://schemas.openxmlformats.org/officeDocument/2006/relationships/hyperlink" Target="consultantplus://offline/ref=3307BF2BAB503FED237795504FB43C4C08BF73C52BA0AD06CB5DD000061443E153BEC847CA1BA9F1DEC38A45EC4E437C25AD54F98BE2E6O717E" TargetMode="External"/><Relationship Id="rId55" Type="http://schemas.openxmlformats.org/officeDocument/2006/relationships/image" Target="media/image2.wmf"/><Relationship Id="rId7" Type="http://schemas.openxmlformats.org/officeDocument/2006/relationships/hyperlink" Target="consultantplus://offline/ref=3307BF2BAB503FED23778A454AB43C4C09B772C72EA8F00CC304DC02011B1CF654F7C446CB1AA9FB81C69F54B44145663BAE49E589E0OE16E" TargetMode="External"/><Relationship Id="rId12" Type="http://schemas.openxmlformats.org/officeDocument/2006/relationships/hyperlink" Target="consultantplus://offline/ref=3307BF2BAB503FED23778A454AB43C4C09B772C72EA8F00CC304DC02011B1CF654F7C446CB1DABFB81C69F54B44145663BAE49E589E0OE16E" TargetMode="External"/><Relationship Id="rId17" Type="http://schemas.openxmlformats.org/officeDocument/2006/relationships/hyperlink" Target="consultantplus://offline/ref=3307BF2BAB503FED237795504FB43C4C0BB670C22CA0AD06CB5DD000061443F353E6C445CE07ABF3CB95DB03OB1BE" TargetMode="External"/><Relationship Id="rId25" Type="http://schemas.openxmlformats.org/officeDocument/2006/relationships/hyperlink" Target="consultantplus://offline/ref=3307BF2BAB503FED23778A454AB43C4C09B772C72EA8F00CC304DC02011B1CF654F7C446CA18AAF0DC9C8F50FD164C7A3FB357E497E0E477OD1DE" TargetMode="External"/><Relationship Id="rId33" Type="http://schemas.openxmlformats.org/officeDocument/2006/relationships/hyperlink" Target="consultantplus://offline/ref=3307BF2BAB503FED23778A454AB43C4C09B772C72EA8F00CC304DC02011B1CF654F7C446CA18AAF0DC9C8F50FD164C7A3FB357E497E0E477OD1DE" TargetMode="External"/><Relationship Id="rId38" Type="http://schemas.openxmlformats.org/officeDocument/2006/relationships/hyperlink" Target="consultantplus://offline/ref=3307BF2BAB503FED23778A454AB43C4C09B772C72EA8F00CC304DC02011B1CF654F7C446CB1DA8FB81C69F54B44145663BAE49E589E0OE16E" TargetMode="External"/><Relationship Id="rId46" Type="http://schemas.openxmlformats.org/officeDocument/2006/relationships/hyperlink" Target="consultantplus://offline/ref=3307BF2BAB503FED237795504FB43C4C08BE71CE28A0AD06CB5DD000061443E153BEC847CA1BAFF5DEC38A45EC4E437C25AD54F98BE2E6O717E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07BF2BAB503FED237795504FB43C4C08BF73C52BA0AD06CB5DD000061443F353E6C445CE07ABF3CB95DB03OB1BE" TargetMode="External"/><Relationship Id="rId20" Type="http://schemas.openxmlformats.org/officeDocument/2006/relationships/hyperlink" Target="consultantplus://offline/ref=3307BF2BAB503FED237795504FB43C4C03BB7FCF24FDA70E9251D207094B46E642BECB43D419A8EED797D9O013E" TargetMode="External"/><Relationship Id="rId29" Type="http://schemas.openxmlformats.org/officeDocument/2006/relationships/hyperlink" Target="consultantplus://offline/ref=3307BF2BAB503FED23778A454AB43C4C0EBE70CE29A3F00CC304DC02011B1CF654F7C446CA19AAF6D79C8F50FD164C7A3FB357E497E0E477OD1DE" TargetMode="External"/><Relationship Id="rId41" Type="http://schemas.openxmlformats.org/officeDocument/2006/relationships/hyperlink" Target="consultantplus://offline/ref=3307BF2BAB503FED237795504FB43C4C0BB670C22CA0AD06CB5DD000061443E153BEC847C91EACF3DEC38A45EC4E437C25AD54F98BE2E6O717E" TargetMode="External"/><Relationship Id="rId54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3307BF2BAB503FED23778A454AB43C4C09B87EC127AFF00CC304DC02011B1CF646F79C4AC81DB5F0D689D901BBO411E" TargetMode="External"/><Relationship Id="rId11" Type="http://schemas.openxmlformats.org/officeDocument/2006/relationships/hyperlink" Target="consultantplus://offline/ref=3307BF2BAB503FED23778A454AB43C4C09B772C72EA8F00CC304DC02011B1CF654F7C446CB1DACFB81C69F54B44145663BAE49E589E0OE16E" TargetMode="External"/><Relationship Id="rId24" Type="http://schemas.openxmlformats.org/officeDocument/2006/relationships/hyperlink" Target="consultantplus://offline/ref=3307BF2BAB503FED2377895053B43C4C02BB7EC524FDA70E9251D207094B46E642BECB43D419A8EED797D9O013E" TargetMode="External"/><Relationship Id="rId32" Type="http://schemas.openxmlformats.org/officeDocument/2006/relationships/hyperlink" Target="consultantplus://offline/ref=3307BF2BAB503FED23778A454AB43C4C0EBF74C72EA2F00CC304DC02011B1CF646F79C4AC81DB5F0D689D901BBO411E" TargetMode="External"/><Relationship Id="rId37" Type="http://schemas.openxmlformats.org/officeDocument/2006/relationships/hyperlink" Target="consultantplus://offline/ref=3307BF2BAB503FED23778A454AB43C4C09B772C72EA8F00CC304DC02011B1CF646F79C4AC81DB5F0D689D901BBO411E" TargetMode="External"/><Relationship Id="rId40" Type="http://schemas.openxmlformats.org/officeDocument/2006/relationships/hyperlink" Target="consultantplus://offline/ref=3307BF2BAB503FED237795504FB43C4C0BB670C22CA0AD06CB5DD000061443E153BEC847CA19AFF1DEC38A45EC4E437C25AD54F98BE2E6O717E" TargetMode="External"/><Relationship Id="rId45" Type="http://schemas.openxmlformats.org/officeDocument/2006/relationships/hyperlink" Target="consultantplus://offline/ref=3307BF2BAB503FED237795504FB43C4C08BE71CE28A0AD06CB5DD000061443E153BEC847CA1BA8F6DEC38A45EC4E437C25AD54F98BE2E6O717E" TargetMode="External"/><Relationship Id="rId53" Type="http://schemas.openxmlformats.org/officeDocument/2006/relationships/hyperlink" Target="consultantplus://offline/ref=3307BF2BAB503FED23778A454AB43C4C0EBF74C72EA2F00CC304DC02011B1CF646F79C4AC81DB5F0D689D901BBO411E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3307BF2BAB503FED23778A454AB43C4C09B772C72EA8F00CC304DC02011B1CF654F7C446CB1DA3FB81C69F54B44145663BAE49E589E0OE16E" TargetMode="External"/><Relationship Id="rId15" Type="http://schemas.openxmlformats.org/officeDocument/2006/relationships/hyperlink" Target="consultantplus://offline/ref=3307BF2BAB503FED237795504FB43C4C08BE71CE28A0AD06CB5DD000061443F353E6C445CE07ABF3CB95DB03OB1BE" TargetMode="External"/><Relationship Id="rId23" Type="http://schemas.openxmlformats.org/officeDocument/2006/relationships/hyperlink" Target="consultantplus://offline/ref=3307BF2BAB503FED237795504FB43C4C0BBB7FC32BA0AD06CB5DD000061443F353E6C445CE07ABF3CB95DB03OB1BE" TargetMode="External"/><Relationship Id="rId28" Type="http://schemas.openxmlformats.org/officeDocument/2006/relationships/hyperlink" Target="consultantplus://offline/ref=3307BF2BAB503FED23778A454AB43C4C0EBF74C72EA2F00CC304DC02011B1CF646F79C4AC81DB5F0D689D901BBO411E" TargetMode="External"/><Relationship Id="rId36" Type="http://schemas.openxmlformats.org/officeDocument/2006/relationships/hyperlink" Target="consultantplus://offline/ref=3307BF2BAB503FED23778A454AB43C4C09B772C72EA8F00CC304DC02011B1CF654F7C446CB1DA9FB81C69F54B44145663BAE49E589E0OE16E" TargetMode="External"/><Relationship Id="rId49" Type="http://schemas.openxmlformats.org/officeDocument/2006/relationships/hyperlink" Target="consultantplus://offline/ref=3307BF2BAB503FED237795504FB43C4C08BF73C52BA0AD06CB5DD000061443E153BEC847CA19AFF6DEC38A45EC4E437C25AD54F98BE2E6O717E" TargetMode="External"/><Relationship Id="rId57" Type="http://schemas.openxmlformats.org/officeDocument/2006/relationships/image" Target="media/image3.wmf"/><Relationship Id="rId10" Type="http://schemas.openxmlformats.org/officeDocument/2006/relationships/hyperlink" Target="consultantplus://offline/ref=3307BF2BAB503FED23778A454AB43C4C0EBE70CE29A3F00CC304DC02011B1CF654F7C446C811ADF3DD9C8F50FD164C7A3FB357E497E0E477OD1DE" TargetMode="External"/><Relationship Id="rId19" Type="http://schemas.openxmlformats.org/officeDocument/2006/relationships/hyperlink" Target="consultantplus://offline/ref=3307BF2BAB503FED237795504FB43C4C0DBB72C024FDA70E9251D207094B46E642BECB43D419A8EED797D9O013E" TargetMode="External"/><Relationship Id="rId31" Type="http://schemas.openxmlformats.org/officeDocument/2006/relationships/hyperlink" Target="consultantplus://offline/ref=3307BF2BAB503FED23778A454AB43C4C0EBE70CE29A3F00CC304DC02011B1CF654F7C446CA19AAF6D79C8F50FD164C7A3FB357E497E0E477OD1DE" TargetMode="External"/><Relationship Id="rId44" Type="http://schemas.openxmlformats.org/officeDocument/2006/relationships/hyperlink" Target="consultantplus://offline/ref=3307BF2BAB503FED237795504FB43C4C08BE71CE28A0AD06CB5DD000061443E153BEC847CA19AFF1DEC38A45EC4E437C25AD54F98BE2E6O717E" TargetMode="External"/><Relationship Id="rId52" Type="http://schemas.openxmlformats.org/officeDocument/2006/relationships/hyperlink" Target="consultantplus://offline/ref=3307BF2BAB503FED237795504FB43C4C08BF73C52BA0AD06CB5DD000061443E153BEC847CA1BA8F1DEC38A45EC4E437C25AD54F98BE2E6O71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07BF2BAB503FED23778A454AB43C4C0EBE70CE29A3F00CC304DC02011B1CF654F7C446CA19AAF6D79C8F50FD164C7A3FB357E497E0E477OD1DE" TargetMode="External"/><Relationship Id="rId14" Type="http://schemas.openxmlformats.org/officeDocument/2006/relationships/hyperlink" Target="consultantplus://offline/ref=3307BF2BAB503FED237795504FB43C4C08B874CF2FA0AD06CB5DD000061443F353E6C445CE07ABF3CB95DB03OB1BE" TargetMode="External"/><Relationship Id="rId22" Type="http://schemas.openxmlformats.org/officeDocument/2006/relationships/hyperlink" Target="consultantplus://offline/ref=3307BF2BAB503FED237795504FB43C4C0BBB7FCE2BA0AD06CB5DD000061443F353E6C445CE07ABF3CB95DB03OB1BE" TargetMode="External"/><Relationship Id="rId27" Type="http://schemas.openxmlformats.org/officeDocument/2006/relationships/hyperlink" Target="consultantplus://offline/ref=3307BF2BAB503FED23778A454AB43C4C09B772C72EA8F00CC304DC02011B1CF654F7C446CF1DA2FB81C69F54B44145663BAE49E589E0OE16E" TargetMode="External"/><Relationship Id="rId30" Type="http://schemas.openxmlformats.org/officeDocument/2006/relationships/hyperlink" Target="consultantplus://offline/ref=3307BF2BAB503FED23778A454AB43C4C0EBF74C72EA2F00CC304DC02011B1CF646F79C4AC81DB5F0D689D901BBO411E" TargetMode="External"/><Relationship Id="rId35" Type="http://schemas.openxmlformats.org/officeDocument/2006/relationships/hyperlink" Target="consultantplus://offline/ref=3307BF2BAB503FED23778A454AB43C4C09B772C72EA8F00CC304DC02011B1CF654F7C446CB1DAAFB81C69F54B44145663BAE49E589E0OE16E" TargetMode="External"/><Relationship Id="rId43" Type="http://schemas.openxmlformats.org/officeDocument/2006/relationships/hyperlink" Target="consultantplus://offline/ref=3307BF2BAB503FED237795504FB43C4C08BE71CE28A0AD06CB5DD000061443E153BEC847CA19A8F9DEC38A45EC4E437C25AD54F98BE2E6O717E" TargetMode="External"/><Relationship Id="rId48" Type="http://schemas.openxmlformats.org/officeDocument/2006/relationships/hyperlink" Target="consultantplus://offline/ref=3307BF2BAB503FED237795504FB43C4C08BF73C52BA0AD06CB5DD000061443E153BEC847CA19AFF4DEC38A45EC4E437C25AD54F98BE2E6O717E" TargetMode="External"/><Relationship Id="rId56" Type="http://schemas.openxmlformats.org/officeDocument/2006/relationships/hyperlink" Target="consultantplus://offline/ref=3307BF2BAB503FED23778A454AB43C4C0EBF77C729A8F00CC304DC02011B1CF654F7C445C819ABFB81C69F54B44145663BAE49E589E0OE16E" TargetMode="External"/><Relationship Id="rId8" Type="http://schemas.openxmlformats.org/officeDocument/2006/relationships/hyperlink" Target="consultantplus://offline/ref=3307BF2BAB503FED23778A454AB43C4C0EBF74C72EA2F00CC304DC02011B1CF646F79C4AC81DB5F0D689D901BBO411E" TargetMode="External"/><Relationship Id="rId51" Type="http://schemas.openxmlformats.org/officeDocument/2006/relationships/hyperlink" Target="consultantplus://offline/ref=3307BF2BAB503FED237795504FB43C4C08BF73C52BA0AD06CB5DD000061443E153BEC847CA1BA8F0DEC38A45EC4E437C25AD54F98BE2E6O717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7242</Words>
  <Characters>41282</Characters>
  <Application>Microsoft Office Word</Application>
  <DocSecurity>0</DocSecurity>
  <Lines>344</Lines>
  <Paragraphs>96</Paragraphs>
  <ScaleCrop>false</ScaleCrop>
  <Company/>
  <LinksUpToDate>false</LinksUpToDate>
  <CharactersWithSpaces>48428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2022-03-24T04:53:00Z</dcterms:created>
  <dcterms:modified xsi:type="dcterms:W3CDTF">2022-03-24T04:53:00Z</dcterms:modified>
</cp:coreProperties>
</file>