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54160F">
        <w:rPr>
          <w:rFonts w:eastAsia="Calibri"/>
          <w:b/>
          <w:color w:val="000000"/>
        </w:rPr>
        <w:t>4</w:t>
      </w:r>
      <w:r w:rsidR="00AC3980">
        <w:rPr>
          <w:rFonts w:eastAsia="Calibri"/>
          <w:b/>
          <w:color w:val="000000"/>
        </w:rPr>
        <w:t>64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B53FF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>полномочиями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641B15">
        <w:t>15.10.2024</w:t>
      </w:r>
      <w:r w:rsidR="004E7E56" w:rsidRPr="00D5091A">
        <w:t xml:space="preserve"> № </w:t>
      </w:r>
      <w:r w:rsidR="00641B15">
        <w:t>46-485</w:t>
      </w:r>
      <w:r w:rsidR="004E7E56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641B15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54160F">
        <w:rPr>
          <w:rFonts w:ascii="Times New Roman" w:hAnsi="Times New Roman"/>
          <w:b w:val="0"/>
          <w:i w:val="0"/>
          <w:sz w:val="24"/>
          <w:szCs w:val="24"/>
        </w:rPr>
        <w:t>18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.04.2025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14</w:t>
      </w:r>
      <w:r w:rsidR="0054160F">
        <w:rPr>
          <w:rFonts w:ascii="Times New Roman" w:hAnsi="Times New Roman"/>
          <w:b w:val="0"/>
          <w:i w:val="0"/>
          <w:sz w:val="24"/>
          <w:szCs w:val="24"/>
        </w:rPr>
        <w:t>6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</w:t>
      </w:r>
      <w:r w:rsidR="002F48C8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54160F">
        <w:rPr>
          <w:rFonts w:ascii="Times New Roman" w:hAnsi="Times New Roman"/>
          <w:b w:val="0"/>
          <w:i w:val="0"/>
          <w:sz w:val="24"/>
          <w:szCs w:val="24"/>
        </w:rPr>
        <w:t xml:space="preserve">здания по адресу: ул. </w:t>
      </w:r>
      <w:proofErr w:type="gramStart"/>
      <w:r w:rsidR="0054160F">
        <w:rPr>
          <w:rFonts w:ascii="Times New Roman" w:hAnsi="Times New Roman"/>
          <w:b w:val="0"/>
          <w:i w:val="0"/>
          <w:sz w:val="24"/>
          <w:szCs w:val="24"/>
        </w:rPr>
        <w:t>Речная</w:t>
      </w:r>
      <w:proofErr w:type="gramEnd"/>
      <w:r w:rsidR="0054160F">
        <w:rPr>
          <w:rFonts w:ascii="Times New Roman" w:hAnsi="Times New Roman"/>
          <w:b w:val="0"/>
          <w:i w:val="0"/>
          <w:sz w:val="24"/>
          <w:szCs w:val="24"/>
        </w:rPr>
        <w:t>, д. 51А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 xml:space="preserve">нежилое </w:t>
      </w:r>
      <w:r w:rsidR="0054160F">
        <w:t>зда</w:t>
      </w:r>
      <w:r>
        <w:t>ние</w:t>
      </w:r>
      <w:r w:rsidR="0054160F">
        <w:t xml:space="preserve"> (</w:t>
      </w:r>
      <w:proofErr w:type="spellStart"/>
      <w:r w:rsidR="0054160F">
        <w:t>мехмастерская</w:t>
      </w:r>
      <w:proofErr w:type="spellEnd"/>
      <w:r w:rsidR="0054160F">
        <w:t>)</w:t>
      </w:r>
      <w:r w:rsidRPr="00F30899">
        <w:t>;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>Адрес –</w:t>
      </w:r>
      <w:r w:rsidR="0054160F">
        <w:rPr>
          <w:b/>
        </w:rPr>
        <w:t xml:space="preserve"> </w:t>
      </w:r>
      <w:r w:rsidRPr="00F30899">
        <w:t xml:space="preserve">Красноярский край, </w:t>
      </w:r>
      <w:r w:rsidR="0054160F">
        <w:t>г.</w:t>
      </w:r>
      <w:r>
        <w:t xml:space="preserve"> </w:t>
      </w:r>
      <w:r w:rsidRPr="00F30899">
        <w:t xml:space="preserve">Железногорск, </w:t>
      </w:r>
      <w:r w:rsidR="0054160F">
        <w:t xml:space="preserve">п. </w:t>
      </w:r>
      <w:proofErr w:type="spellStart"/>
      <w:r w:rsidR="0054160F">
        <w:t>Додоново</w:t>
      </w:r>
      <w:proofErr w:type="spellEnd"/>
      <w:r w:rsidR="0054160F">
        <w:t xml:space="preserve">, ул. </w:t>
      </w:r>
      <w:proofErr w:type="gramStart"/>
      <w:r w:rsidR="0054160F">
        <w:t>Речная</w:t>
      </w:r>
      <w:proofErr w:type="gramEnd"/>
      <w:r w:rsidR="0054160F">
        <w:t>, д. 51А</w:t>
      </w:r>
      <w:r w:rsidRPr="00F30899">
        <w:t>.</w:t>
      </w:r>
    </w:p>
    <w:p w:rsidR="0066625E" w:rsidRPr="00F30899" w:rsidRDefault="0066625E" w:rsidP="0066625E">
      <w:pPr>
        <w:ind w:firstLine="284"/>
        <w:jc w:val="both"/>
      </w:pPr>
      <w:r w:rsidRPr="00F30899">
        <w:rPr>
          <w:b/>
        </w:rPr>
        <w:t xml:space="preserve"> Площадь – </w:t>
      </w:r>
      <w:r w:rsidR="0054160F">
        <w:t>107,7</w:t>
      </w:r>
      <w:r>
        <w:t xml:space="preserve"> </w:t>
      </w:r>
      <w:r w:rsidRPr="00F30899">
        <w:t>кв. метров;</w:t>
      </w:r>
    </w:p>
    <w:p w:rsidR="0066625E" w:rsidRDefault="0066625E" w:rsidP="0066625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66625E" w:rsidRPr="006E4E18" w:rsidRDefault="0066625E" w:rsidP="0066625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 xml:space="preserve">– </w:t>
      </w:r>
      <w:proofErr w:type="gramStart"/>
      <w:r w:rsidR="0054160F">
        <w:t>одноэтажное</w:t>
      </w:r>
      <w:proofErr w:type="gramEnd"/>
      <w:r w:rsidR="0054160F">
        <w:t xml:space="preserve"> без подвала</w:t>
      </w:r>
      <w:r>
        <w:t>.</w:t>
      </w:r>
    </w:p>
    <w:p w:rsidR="0066625E" w:rsidRPr="002137AC" w:rsidRDefault="0066625E" w:rsidP="0066625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="0051669B" w:rsidRPr="0051669B">
        <w:rPr>
          <w:sz w:val="24"/>
          <w:szCs w:val="24"/>
        </w:rPr>
        <w:t xml:space="preserve">Техническое состояние объекта оценивается как неудовлетворительное. </w:t>
      </w:r>
      <w:r>
        <w:rPr>
          <w:sz w:val="24"/>
          <w:szCs w:val="24"/>
        </w:rPr>
        <w:t xml:space="preserve">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</w:t>
      </w:r>
      <w:r w:rsidR="0051669B">
        <w:rPr>
          <w:sz w:val="24"/>
          <w:szCs w:val="24"/>
        </w:rPr>
        <w:t>501002:1550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</w:t>
      </w:r>
      <w:r w:rsidR="0051669B">
        <w:rPr>
          <w:sz w:val="24"/>
          <w:szCs w:val="24"/>
        </w:rPr>
        <w:t xml:space="preserve">п. </w:t>
      </w:r>
      <w:proofErr w:type="spellStart"/>
      <w:r w:rsidR="0051669B">
        <w:rPr>
          <w:sz w:val="24"/>
          <w:szCs w:val="24"/>
        </w:rPr>
        <w:t>Додоново</w:t>
      </w:r>
      <w:proofErr w:type="spellEnd"/>
      <w:r w:rsidR="0051669B">
        <w:rPr>
          <w:sz w:val="24"/>
          <w:szCs w:val="24"/>
        </w:rPr>
        <w:t>, ул. Речная, земельный участок 51А</w:t>
      </w:r>
      <w:r>
        <w:rPr>
          <w:sz w:val="24"/>
          <w:szCs w:val="24"/>
        </w:rPr>
        <w:t xml:space="preserve">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Объект</w:t>
      </w:r>
      <w:r w:rsidR="0051669B">
        <w:rPr>
          <w:sz w:val="24"/>
          <w:szCs w:val="24"/>
        </w:rPr>
        <w:t>а</w:t>
      </w:r>
      <w:r>
        <w:rPr>
          <w:sz w:val="24"/>
          <w:szCs w:val="24"/>
        </w:rPr>
        <w:t xml:space="preserve">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</w:t>
      </w:r>
      <w:r w:rsidR="0051669B">
        <w:rPr>
          <w:sz w:val="24"/>
          <w:szCs w:val="24"/>
        </w:rPr>
        <w:t>не</w:t>
      </w:r>
      <w:r>
        <w:rPr>
          <w:sz w:val="24"/>
          <w:szCs w:val="24"/>
        </w:rPr>
        <w:t xml:space="preserve"> развиты. Обременения в отношении Объекта отсутствуют.</w:t>
      </w:r>
    </w:p>
    <w:p w:rsidR="008E0CC4" w:rsidRPr="00231148" w:rsidRDefault="002137AC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2C171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772EE3" w:rsidRDefault="0051669B" w:rsidP="00772EE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Продажа Объекта проводится впервые</w:t>
      </w:r>
      <w:r w:rsidR="00772EE3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0D2202">
      <w:pPr>
        <w:ind w:left="360" w:hanging="76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732681">
        <w:t>8</w:t>
      </w:r>
      <w:r w:rsidR="0051669B">
        <w:t>4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51669B">
        <w:rPr>
          <w:b/>
        </w:rPr>
        <w:t>30</w:t>
      </w:r>
      <w:r w:rsidRPr="00137102">
        <w:rPr>
          <w:b/>
        </w:rPr>
        <w:t xml:space="preserve">» </w:t>
      </w:r>
      <w:r w:rsidR="007041FF">
        <w:rPr>
          <w:b/>
        </w:rPr>
        <w:t>апрел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51669B">
        <w:rPr>
          <w:b/>
        </w:rPr>
        <w:t>16</w:t>
      </w:r>
      <w:r w:rsidRPr="00137102">
        <w:rPr>
          <w:b/>
        </w:rPr>
        <w:t xml:space="preserve">» </w:t>
      </w:r>
      <w:r w:rsidR="0051669B">
        <w:rPr>
          <w:b/>
        </w:rPr>
        <w:t>июн</w:t>
      </w:r>
      <w:r w:rsidR="0066625E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51669B">
        <w:rPr>
          <w:b/>
        </w:rPr>
        <w:t>17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041FF">
        <w:rPr>
          <w:b/>
        </w:rPr>
        <w:t>н</w:t>
      </w:r>
      <w:r w:rsidR="0024068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51669B">
        <w:rPr>
          <w:b/>
        </w:rPr>
        <w:t>5</w:t>
      </w:r>
      <w:r w:rsidRPr="00137102">
        <w:rPr>
          <w:b/>
        </w:rPr>
        <w:t xml:space="preserve"> час. </w:t>
      </w:r>
      <w:r w:rsidR="007041FF">
        <w:rPr>
          <w:b/>
        </w:rPr>
        <w:t>0</w:t>
      </w:r>
      <w:r w:rsidRPr="00137102">
        <w:rPr>
          <w:b/>
        </w:rPr>
        <w:t>0  мин. «</w:t>
      </w:r>
      <w:r w:rsidR="0051669B">
        <w:rPr>
          <w:b/>
        </w:rPr>
        <w:t>19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041FF">
        <w:rPr>
          <w:b/>
        </w:rPr>
        <w:t>н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B53FFE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</w:t>
      </w:r>
      <w:r w:rsidRPr="00407D71">
        <w:lastRenderedPageBreak/>
        <w:t>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 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lastRenderedPageBreak/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</w:t>
      </w:r>
      <w:r w:rsidRPr="0087350D">
        <w:rPr>
          <w:rFonts w:eastAsia="Calibri"/>
        </w:rPr>
        <w:lastRenderedPageBreak/>
        <w:t xml:space="preserve">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0142AA">
        <w:rPr>
          <w:b/>
        </w:rPr>
        <w:t>8 4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732681">
        <w:rPr>
          <w:rFonts w:eastAsia="Calibri"/>
          <w:b/>
        </w:rPr>
        <w:t>восемь</w:t>
      </w:r>
      <w:r w:rsidR="004C0D39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0142AA">
        <w:rPr>
          <w:rFonts w:eastAsia="Calibri"/>
          <w:b/>
        </w:rPr>
        <w:t xml:space="preserve"> четыреста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AC54E0">
      <w:pPr>
        <w:tabs>
          <w:tab w:val="left" w:pos="540"/>
        </w:tabs>
        <w:ind w:firstLine="709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831727" w:rsidRDefault="00AC54E0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831727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i/>
          <w:iCs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 xml:space="preserve">В </w:t>
      </w:r>
      <w:proofErr w:type="gramStart"/>
      <w:r w:rsidRPr="009D3B08">
        <w:rPr>
          <w:rFonts w:eastAsia="Calibri"/>
        </w:rPr>
        <w:t>случае</w:t>
      </w:r>
      <w:proofErr w:type="gramEnd"/>
      <w:r w:rsidRPr="009D3B08">
        <w:rPr>
          <w:rFonts w:eastAsia="Calibri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eastAsia="Calibri"/>
        </w:rPr>
        <w:t>О</w:t>
      </w:r>
      <w:r w:rsidRPr="009D3B08">
        <w:rPr>
          <w:rFonts w:eastAsia="Calibri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eastAsia="Calibri"/>
          </w:rPr>
          <w:t>property@sberbank-ast.ru</w:t>
        </w:r>
      </w:hyperlink>
      <w:r w:rsidRPr="009D3B08">
        <w:rPr>
          <w:rFonts w:eastAsia="Calibri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 w:rsidR="004A7172">
        <w:t xml:space="preserve">по продаже </w:t>
      </w:r>
      <w:r w:rsidR="000142AA">
        <w:t xml:space="preserve">здания ул. </w:t>
      </w:r>
      <w:proofErr w:type="gramStart"/>
      <w:r w:rsidR="000142AA">
        <w:t>Речная</w:t>
      </w:r>
      <w:proofErr w:type="gramEnd"/>
      <w:r w:rsidR="000142AA">
        <w:t>, д. 51А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7041FF">
        <w:t>5</w:t>
      </w:r>
      <w:r w:rsidR="00053585" w:rsidRPr="00120E34">
        <w:t>/</w:t>
      </w:r>
      <w:r w:rsidR="007041FF">
        <w:t>апрель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831727" w:rsidRPr="00E66BC2" w:rsidRDefault="00AC54E0" w:rsidP="00831727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</w:t>
      </w:r>
      <w:r w:rsidR="00831727">
        <w:rPr>
          <w:sz w:val="24"/>
          <w:szCs w:val="24"/>
        </w:rPr>
        <w:t xml:space="preserve">заинтересованными лицами </w:t>
      </w:r>
      <w:r w:rsidR="000142AA">
        <w:rPr>
          <w:sz w:val="24"/>
          <w:szCs w:val="24"/>
        </w:rPr>
        <w:t>самостоятельно</w:t>
      </w:r>
      <w:r w:rsidR="00831727" w:rsidRPr="00E66BC2">
        <w:rPr>
          <w:sz w:val="24"/>
          <w:szCs w:val="24"/>
        </w:rPr>
        <w:t>.</w:t>
      </w:r>
    </w:p>
    <w:p w:rsidR="00AC54E0" w:rsidRPr="00641C42" w:rsidRDefault="00AC54E0" w:rsidP="00BB2137">
      <w:pPr>
        <w:ind w:firstLine="567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 </w:t>
      </w:r>
      <w:r w:rsidR="000142AA">
        <w:rPr>
          <w:b/>
        </w:rPr>
        <w:t>4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0142AA">
        <w:rPr>
          <w:rFonts w:eastAsia="Calibri"/>
          <w:b/>
        </w:rPr>
        <w:t>четыре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</w:t>
      </w:r>
      <w:r w:rsidR="000142AA">
        <w:rPr>
          <w:rFonts w:eastAsia="Calibri"/>
          <w:b/>
        </w:rPr>
        <w:t>и</w:t>
      </w:r>
      <w:r w:rsidR="009F1435" w:rsidRPr="009F1435">
        <w:rPr>
          <w:rFonts w:eastAsia="Calibri"/>
          <w:b/>
        </w:rPr>
        <w:t>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E85A71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0142AA" w:rsidP="00BB2137">
      <w:pPr>
        <w:ind w:firstLine="142"/>
        <w:jc w:val="both"/>
      </w:pPr>
      <w:r>
        <w:t xml:space="preserve">  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292DDE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</w:t>
      </w:r>
      <w:r w:rsidRPr="0087350D">
        <w:lastRenderedPageBreak/>
        <w:t>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D383F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</w:t>
      </w:r>
      <w:r w:rsidRPr="00E05FE0">
        <w:lastRenderedPageBreak/>
        <w:t>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0142AA">
      <w:pPr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B53FFE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301A2">
        <w:t xml:space="preserve">  </w:t>
      </w:r>
      <w:r w:rsidR="00463877">
        <w:t xml:space="preserve">          </w:t>
      </w:r>
      <w:r w:rsidR="002301A2">
        <w:t xml:space="preserve">   </w:t>
      </w:r>
      <w:r w:rsidR="00B53FFE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4C0D39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142AA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57C8A"/>
    <w:rsid w:val="001645F3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92DDE"/>
    <w:rsid w:val="002B0A2F"/>
    <w:rsid w:val="002C1710"/>
    <w:rsid w:val="002C7982"/>
    <w:rsid w:val="002D0950"/>
    <w:rsid w:val="002D1EB9"/>
    <w:rsid w:val="002E03C5"/>
    <w:rsid w:val="002E1DEE"/>
    <w:rsid w:val="002E65D9"/>
    <w:rsid w:val="002E7BEC"/>
    <w:rsid w:val="002F48C8"/>
    <w:rsid w:val="002F4D6C"/>
    <w:rsid w:val="0030371A"/>
    <w:rsid w:val="00303894"/>
    <w:rsid w:val="00313A0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2A4B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82167"/>
    <w:rsid w:val="00484F14"/>
    <w:rsid w:val="004856EA"/>
    <w:rsid w:val="00495168"/>
    <w:rsid w:val="004979EB"/>
    <w:rsid w:val="004A7172"/>
    <w:rsid w:val="004C0D39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1669B"/>
    <w:rsid w:val="00522876"/>
    <w:rsid w:val="0052373D"/>
    <w:rsid w:val="00537F11"/>
    <w:rsid w:val="0054160F"/>
    <w:rsid w:val="00543C75"/>
    <w:rsid w:val="00564391"/>
    <w:rsid w:val="00573662"/>
    <w:rsid w:val="0058087B"/>
    <w:rsid w:val="0058374B"/>
    <w:rsid w:val="00594B22"/>
    <w:rsid w:val="005A2913"/>
    <w:rsid w:val="005B5CD1"/>
    <w:rsid w:val="005C2631"/>
    <w:rsid w:val="005C421F"/>
    <w:rsid w:val="005D383F"/>
    <w:rsid w:val="005F3333"/>
    <w:rsid w:val="00601836"/>
    <w:rsid w:val="006103B3"/>
    <w:rsid w:val="00611DDA"/>
    <w:rsid w:val="006146AB"/>
    <w:rsid w:val="006173C1"/>
    <w:rsid w:val="0062672F"/>
    <w:rsid w:val="00627500"/>
    <w:rsid w:val="00641B15"/>
    <w:rsid w:val="00641C42"/>
    <w:rsid w:val="00651632"/>
    <w:rsid w:val="006546CC"/>
    <w:rsid w:val="00657BD0"/>
    <w:rsid w:val="00660611"/>
    <w:rsid w:val="0066625E"/>
    <w:rsid w:val="006911C4"/>
    <w:rsid w:val="00693BE8"/>
    <w:rsid w:val="006A1E90"/>
    <w:rsid w:val="006A2775"/>
    <w:rsid w:val="006A4990"/>
    <w:rsid w:val="006A6B38"/>
    <w:rsid w:val="006B0C75"/>
    <w:rsid w:val="006D4E3B"/>
    <w:rsid w:val="006D5C3D"/>
    <w:rsid w:val="006D6CBA"/>
    <w:rsid w:val="006E1014"/>
    <w:rsid w:val="006E46BB"/>
    <w:rsid w:val="006E4E18"/>
    <w:rsid w:val="006F5DF1"/>
    <w:rsid w:val="006F78B2"/>
    <w:rsid w:val="00700897"/>
    <w:rsid w:val="007041FF"/>
    <w:rsid w:val="00705F0D"/>
    <w:rsid w:val="00715BAD"/>
    <w:rsid w:val="00724902"/>
    <w:rsid w:val="007313E8"/>
    <w:rsid w:val="00732681"/>
    <w:rsid w:val="00733C08"/>
    <w:rsid w:val="0073476F"/>
    <w:rsid w:val="0074449C"/>
    <w:rsid w:val="007557BB"/>
    <w:rsid w:val="00755F54"/>
    <w:rsid w:val="00756BCF"/>
    <w:rsid w:val="00772A5B"/>
    <w:rsid w:val="00772EE3"/>
    <w:rsid w:val="007862BD"/>
    <w:rsid w:val="00786CB7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1727"/>
    <w:rsid w:val="0083234C"/>
    <w:rsid w:val="00844E0F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D0F77"/>
    <w:rsid w:val="008D511D"/>
    <w:rsid w:val="008E0CC4"/>
    <w:rsid w:val="008E48BA"/>
    <w:rsid w:val="008E4CAC"/>
    <w:rsid w:val="008F0DA7"/>
    <w:rsid w:val="008F7759"/>
    <w:rsid w:val="008F7B0E"/>
    <w:rsid w:val="00913F0E"/>
    <w:rsid w:val="009316D7"/>
    <w:rsid w:val="00933CA3"/>
    <w:rsid w:val="00940BAC"/>
    <w:rsid w:val="009544EC"/>
    <w:rsid w:val="009635DE"/>
    <w:rsid w:val="009639B1"/>
    <w:rsid w:val="0096718F"/>
    <w:rsid w:val="009809C7"/>
    <w:rsid w:val="00981D57"/>
    <w:rsid w:val="00983A22"/>
    <w:rsid w:val="009851A9"/>
    <w:rsid w:val="00995BB4"/>
    <w:rsid w:val="009A3369"/>
    <w:rsid w:val="009B2E4D"/>
    <w:rsid w:val="009C190E"/>
    <w:rsid w:val="009C310A"/>
    <w:rsid w:val="009C6B47"/>
    <w:rsid w:val="009C6D0F"/>
    <w:rsid w:val="009D26FB"/>
    <w:rsid w:val="009D3B08"/>
    <w:rsid w:val="009F1435"/>
    <w:rsid w:val="009F3059"/>
    <w:rsid w:val="009F787A"/>
    <w:rsid w:val="00A14A80"/>
    <w:rsid w:val="00A52FF8"/>
    <w:rsid w:val="00AC1DC4"/>
    <w:rsid w:val="00AC3980"/>
    <w:rsid w:val="00AC4C64"/>
    <w:rsid w:val="00AC54E0"/>
    <w:rsid w:val="00AC6523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3FFE"/>
    <w:rsid w:val="00B61B07"/>
    <w:rsid w:val="00B73910"/>
    <w:rsid w:val="00B751A5"/>
    <w:rsid w:val="00BA0443"/>
    <w:rsid w:val="00BB2137"/>
    <w:rsid w:val="00BB472B"/>
    <w:rsid w:val="00BC4FA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4BE"/>
    <w:rsid w:val="00D2174C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6D36"/>
    <w:rsid w:val="00D738A7"/>
    <w:rsid w:val="00D7441B"/>
    <w:rsid w:val="00D864D9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E6F63"/>
    <w:rsid w:val="00EF1190"/>
    <w:rsid w:val="00EF1434"/>
    <w:rsid w:val="00EF494C"/>
    <w:rsid w:val="00EF6C5D"/>
    <w:rsid w:val="00F029BA"/>
    <w:rsid w:val="00F30899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834E6"/>
    <w:rsid w:val="00F96597"/>
    <w:rsid w:val="00F97AEB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BEAE8-3FA9-4FAB-9416-0BD3687B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12</Pages>
  <Words>6874</Words>
  <Characters>39186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45969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32</cp:revision>
  <cp:lastPrinted>2025-04-25T03:03:00Z</cp:lastPrinted>
  <dcterms:created xsi:type="dcterms:W3CDTF">2022-07-21T03:57:00Z</dcterms:created>
  <dcterms:modified xsi:type="dcterms:W3CDTF">2025-04-25T03:09:00Z</dcterms:modified>
</cp:coreProperties>
</file>